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附件4：</w:t>
      </w:r>
    </w:p>
    <w:bookmarkEnd w:id="0"/>
    <w:p>
      <w:pPr>
        <w:jc w:val="center"/>
        <w:rPr>
          <w:rFonts w:hint="eastAsia" w:ascii="方正小标宋简体" w:hAnsi="方正小标宋简体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color w:val="auto"/>
          <w:sz w:val="44"/>
          <w:szCs w:val="44"/>
          <w:lang w:val="en-US" w:eastAsia="zh-CN"/>
        </w:rPr>
        <w:t>2022年度碧道水质监测项目需求书</w:t>
      </w:r>
    </w:p>
    <w:p>
      <w:pPr>
        <w:ind w:firstLine="642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ind w:firstLine="642" w:firstLineChars="200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一、监测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内容</w:t>
      </w:r>
    </w:p>
    <w:p>
      <w:pPr>
        <w:ind w:left="17" w:leftChars="8" w:firstLine="617" w:firstLineChars="193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湛江市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碧道所在河段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监测断面（点位）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每季度一次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现场样品采样、水质样品实验室检测、出具检测报告等工作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2" w:firstLineChars="20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二、监测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要求</w:t>
      </w:r>
    </w:p>
    <w:p>
      <w:pPr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1.监测点位布设</w:t>
      </w:r>
    </w:p>
    <w:p>
      <w:pPr>
        <w:ind w:left="17" w:leftChars="8" w:firstLine="617" w:firstLineChars="19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点位布设按照《地表水及污水监测技术及规范》（HJ/T91-2001）执行，监测河段信息详见表1。</w:t>
      </w:r>
    </w:p>
    <w:p>
      <w:pPr>
        <w:numPr>
          <w:ilvl w:val="0"/>
          <w:numId w:val="1"/>
        </w:numPr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监测指标</w:t>
      </w:r>
    </w:p>
    <w:p>
      <w:pPr>
        <w:ind w:left="17" w:leftChars="8" w:firstLine="617" w:firstLineChars="19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监测及评价指标为“5+X”,其中:</w:t>
      </w:r>
    </w:p>
    <w:p>
      <w:pPr>
        <w:ind w:left="17" w:leftChars="8" w:firstLine="617" w:firstLineChars="19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“5”为基本指标:pH、溶解氧、高锰酸盐指数、氨氮、总磷。</w:t>
      </w:r>
    </w:p>
    <w:p>
      <w:pPr>
        <w:ind w:left="17" w:leftChars="8" w:firstLine="617" w:firstLineChars="19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“X”为特征指标:《地表水环境质量标准》(GB3838-2002)表 1 基本项目中,除上述基本指标外,当年出现的超标指标。</w:t>
      </w:r>
    </w:p>
    <w:p>
      <w:pPr>
        <w:numPr>
          <w:ilvl w:val="0"/>
          <w:numId w:val="1"/>
        </w:numPr>
        <w:ind w:firstLine="642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监测频次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每个季度开展一次监测。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其中,第一季度开展 1 次全指标监测(《地表水环境质量标准》中的 24 个基本项目);其余季度,每个季度开展 1 次 5 项基本指标监测,以及第一次全指标监测中出现超标的 X 项特征指标。每季度最后一个月下旬采样，每季度结束后5个工作日内将检测报告送采购人。</w:t>
      </w:r>
    </w:p>
    <w:p>
      <w:pPr>
        <w:tabs>
          <w:tab w:val="left" w:pos="728"/>
        </w:tabs>
        <w:ind w:firstLine="64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ind w:firstLine="64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ind w:firstLine="64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ind w:firstLine="64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ind w:firstLine="64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ind w:firstLine="64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ind w:firstLine="64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ind w:firstLine="64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ind w:firstLine="64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ind w:firstLine="640"/>
        <w:jc w:val="left"/>
        <w:rPr>
          <w:rFonts w:hint="default" w:ascii="仿宋_GB2312" w:hAnsi="仿宋_GB2312" w:eastAsia="仿宋_GB2312" w:cs="Times New Roman"/>
          <w:b w:val="0"/>
          <w:bCs w:val="0"/>
          <w:color w:val="auto"/>
          <w:sz w:val="32"/>
          <w:szCs w:val="32"/>
          <w:lang w:val="en"/>
        </w:rPr>
      </w:pPr>
      <w:r>
        <w:rPr>
          <w:rFonts w:hint="default" w:ascii="仿宋_GB2312" w:hAnsi="仿宋_GB2312" w:eastAsia="仿宋_GB2312" w:cs="Times New Roman"/>
          <w:b/>
          <w:bCs/>
          <w:color w:val="auto"/>
          <w:sz w:val="32"/>
          <w:szCs w:val="32"/>
          <w:lang w:val="en"/>
        </w:rPr>
        <w:t xml:space="preserve">               </w:t>
      </w:r>
      <w:r>
        <w:rPr>
          <w:rFonts w:hint="default" w:ascii="仿宋_GB2312" w:hAnsi="仿宋_GB2312" w:eastAsia="仿宋_GB2312" w:cs="Times New Roman"/>
          <w:b w:val="0"/>
          <w:bCs w:val="0"/>
          <w:color w:val="auto"/>
          <w:sz w:val="32"/>
          <w:szCs w:val="32"/>
          <w:lang w:val="en"/>
        </w:rPr>
        <w:t xml:space="preserve">        </w:t>
      </w:r>
    </w:p>
    <w:p>
      <w:pPr>
        <w:tabs>
          <w:tab w:val="left" w:pos="728"/>
        </w:tabs>
        <w:ind w:firstLine="64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ind w:firstLine="64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ind w:firstLine="64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ind w:firstLine="64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jc w:val="left"/>
        <w:rPr>
          <w:rFonts w:hint="eastAsia" w:ascii="仿宋_GB2312" w:hAnsi="仿宋_GB2312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sz w:val="32"/>
          <w:szCs w:val="32"/>
          <w:lang w:eastAsia="zh-CN"/>
        </w:rPr>
        <w:t>附表</w:t>
      </w:r>
      <w:r>
        <w:rPr>
          <w:rFonts w:hint="eastAsia" w:ascii="仿宋_GB2312" w:hAns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1</w:t>
      </w:r>
    </w:p>
    <w:p>
      <w:pPr>
        <w:tabs>
          <w:tab w:val="left" w:pos="728"/>
        </w:tabs>
        <w:jc w:val="center"/>
        <w:rPr>
          <w:rFonts w:hint="eastAsia" w:ascii="方正小标宋简体" w:hAnsi="方正小标宋简体" w:eastAsia="方正小标宋简体" w:cs="Times New Roman"/>
          <w:color w:val="auto"/>
          <w:sz w:val="32"/>
          <w:szCs w:val="32"/>
          <w:lang w:val="en-US" w:eastAsia="zh-CN"/>
        </w:rPr>
      </w:pPr>
    </w:p>
    <w:p>
      <w:pPr>
        <w:tabs>
          <w:tab w:val="left" w:pos="728"/>
        </w:tabs>
        <w:jc w:val="center"/>
        <w:rPr>
          <w:rFonts w:hint="eastAsia" w:ascii="方正小标宋简体" w:hAnsi="方正小标宋简体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color w:val="auto"/>
          <w:sz w:val="32"/>
          <w:szCs w:val="32"/>
          <w:lang w:val="en-US" w:eastAsia="zh-CN"/>
        </w:rPr>
        <w:t>湛江市碧道河段2022年度水质监测项目点位信息</w:t>
      </w:r>
    </w:p>
    <w:tbl>
      <w:tblPr>
        <w:tblStyle w:val="4"/>
        <w:tblpPr w:leftFromText="180" w:rightFromText="180" w:vertAnchor="text" w:horzAnchor="page" w:tblpX="1260" w:tblpY="1336"/>
        <w:tblOverlap w:val="never"/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64"/>
        <w:gridCol w:w="1316"/>
        <w:gridCol w:w="1375"/>
        <w:gridCol w:w="1064"/>
        <w:gridCol w:w="1036"/>
        <w:gridCol w:w="1050"/>
        <w:gridCol w:w="1050"/>
        <w:gridCol w:w="1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县级行政区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碧道项目名称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所属河流（湖泊、水库）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碧道类型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碧道起点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碧道终点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碧道长度（公里）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南调河碧道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赤坎江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都市型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海东快线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龙王湾路（南调水闸口）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官渡河碧道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官渡河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自然生态型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上樟坡村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山咀村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雷湖碧道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雷湖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西湖水库放水函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越洪道出口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樱花湖碧道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樱花湖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樱花湖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龙湖山庄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北桥河麻章段碧道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北桥河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都市型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三佰洋村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麻章污水处理厂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旧县河麻章段碧道-3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旧县河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乡野型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畅侃村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畅侃村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霞山区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绿塘河碧道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绿塘河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华都汇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海滨大道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武陵河碧道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武陵河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乡野型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高佳村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六凤村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沙铲河碧道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沙铲河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乡野型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鹿根垌村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山背村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雷阳湖碧道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白水沟水库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乡野型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环白水沟水库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那板河碧道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那板河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乡野型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高沟水库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赤坎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赤坎江碧道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赤坎江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瑞云湖公园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滨湖公园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西湖水库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西湖水库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城镇型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环西湖水库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文保河碧道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文保河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盛和园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出海口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白马岭河碧道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白马岭河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乡野型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青平镇红莩村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青平镇红坎村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天然江碧道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天然江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乡野型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 xml:space="preserve">318 </w:t>
            </w:r>
            <w:r>
              <w:rPr>
                <w:rStyle w:val="15"/>
                <w:lang w:val="en-US" w:eastAsia="zh-CN" w:bidi="ar"/>
              </w:rPr>
              <w:t>乡道公路桥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 xml:space="preserve">944 </w:t>
            </w:r>
            <w:r>
              <w:rPr>
                <w:rStyle w:val="15"/>
                <w:lang w:val="en-US" w:eastAsia="zh-CN" w:bidi="ar"/>
              </w:rPr>
              <w:t>乡道公路桥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塘缀河碧道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塘缀河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乡野型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如兰桥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低垌拦水陂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袂花江碧道吴川博铺段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袂花江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沿江社区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沿江污水处理设施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沙坡河碧道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沙坡桥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入遂溪河河口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青年运河遂溪县城段碧道工程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青年运河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七里电站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全丰桥头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山笃河碧道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山笃河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乡野型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山笃村乡道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入山笃河河口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</w:tr>
    </w:tbl>
    <w:p>
      <w:pPr>
        <w:tabs>
          <w:tab w:val="left" w:pos="728"/>
        </w:tabs>
        <w:jc w:val="center"/>
        <w:rPr>
          <w:rFonts w:hint="eastAsia" w:ascii="方正小标宋简体" w:hAnsi="方正小标宋简体" w:eastAsia="方正小标宋简体" w:cs="Times New Roman"/>
          <w:color w:val="auto"/>
          <w:sz w:val="32"/>
          <w:szCs w:val="32"/>
          <w:lang w:val="en-US" w:eastAsia="zh-CN"/>
        </w:rPr>
      </w:pPr>
    </w:p>
    <w:p>
      <w:pPr>
        <w:tabs>
          <w:tab w:val="left" w:pos="728"/>
        </w:tabs>
        <w:jc w:val="left"/>
        <w:rPr>
          <w:rFonts w:hint="default" w:ascii="仿宋_GB2312" w:hAnsi="仿宋_GB2312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tabs>
          <w:tab w:val="left" w:pos="728"/>
        </w:tabs>
        <w:ind w:firstLine="64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p>
      <w:pPr>
        <w:tabs>
          <w:tab w:val="left" w:pos="728"/>
        </w:tabs>
        <w:ind w:firstLine="640"/>
        <w:jc w:val="left"/>
        <w:rPr>
          <w:rFonts w:ascii="仿宋_GB2312" w:hAnsi="仿宋_GB2312" w:eastAsia="仿宋_GB2312" w:cs="Times New Roman"/>
          <w:b/>
          <w:bCs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E1380"/>
    <w:multiLevelType w:val="singleLevel"/>
    <w:tmpl w:val="AFEE138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81"/>
    <w:rsid w:val="000242BC"/>
    <w:rsid w:val="00062151"/>
    <w:rsid w:val="00131E81"/>
    <w:rsid w:val="002A14B2"/>
    <w:rsid w:val="004E0FE9"/>
    <w:rsid w:val="006B60F1"/>
    <w:rsid w:val="0074287D"/>
    <w:rsid w:val="00785867"/>
    <w:rsid w:val="008C44EA"/>
    <w:rsid w:val="00926DF4"/>
    <w:rsid w:val="009D64B1"/>
    <w:rsid w:val="00B5503C"/>
    <w:rsid w:val="00BD31CA"/>
    <w:rsid w:val="00CE24F5"/>
    <w:rsid w:val="00E81186"/>
    <w:rsid w:val="01D30C97"/>
    <w:rsid w:val="03922E3D"/>
    <w:rsid w:val="0BF7D329"/>
    <w:rsid w:val="0DEF2527"/>
    <w:rsid w:val="0F7D4644"/>
    <w:rsid w:val="12750857"/>
    <w:rsid w:val="13F58674"/>
    <w:rsid w:val="1D6A341E"/>
    <w:rsid w:val="1D8C074D"/>
    <w:rsid w:val="23022BF8"/>
    <w:rsid w:val="27143C6D"/>
    <w:rsid w:val="2AD737D6"/>
    <w:rsid w:val="2EE4E1E9"/>
    <w:rsid w:val="2FF3273E"/>
    <w:rsid w:val="378755FC"/>
    <w:rsid w:val="3F79A4CC"/>
    <w:rsid w:val="44961A82"/>
    <w:rsid w:val="461E539D"/>
    <w:rsid w:val="4AAD2C24"/>
    <w:rsid w:val="4B64478C"/>
    <w:rsid w:val="4D666602"/>
    <w:rsid w:val="568D5EC8"/>
    <w:rsid w:val="5BBF74C5"/>
    <w:rsid w:val="5DCE0175"/>
    <w:rsid w:val="5DEF7A0E"/>
    <w:rsid w:val="6311283B"/>
    <w:rsid w:val="673C3ED3"/>
    <w:rsid w:val="6C095F74"/>
    <w:rsid w:val="7ABD7D79"/>
    <w:rsid w:val="7B685EE1"/>
    <w:rsid w:val="7B7C18B8"/>
    <w:rsid w:val="7F2DA7C5"/>
    <w:rsid w:val="7FDF75F9"/>
    <w:rsid w:val="7FEFC4E0"/>
    <w:rsid w:val="ABED597D"/>
    <w:rsid w:val="BDF7591D"/>
    <w:rsid w:val="C593C6F3"/>
    <w:rsid w:val="DCDF82A4"/>
    <w:rsid w:val="EBCC3DA5"/>
    <w:rsid w:val="F467B614"/>
    <w:rsid w:val="F5D9E138"/>
    <w:rsid w:val="F7BF1528"/>
    <w:rsid w:val="FFBA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脚 Char"/>
    <w:basedOn w:val="5"/>
    <w:link w:val="2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8">
    <w:name w:val="页眉 Char"/>
    <w:basedOn w:val="5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0">
    <w:name w:val=" Char Char Char Char Char Char Char"/>
    <w:basedOn w:val="1"/>
    <w:qFormat/>
    <w:uiPriority w:val="0"/>
    <w:rPr>
      <w:rFonts w:ascii="Times New Roman" w:hAnsi="Times New Roman" w:eastAsia="仿宋_GB2312"/>
      <w:sz w:val="32"/>
      <w:szCs w:val="21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223</Words>
  <Characters>1272</Characters>
  <Lines>10</Lines>
  <Paragraphs>2</Paragraphs>
  <TotalTime>20</TotalTime>
  <ScaleCrop>false</ScaleCrop>
  <LinksUpToDate>false</LinksUpToDate>
  <CharactersWithSpaces>1493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2020-01-11T00:06:00Z</dcterms:created>
  <dc:creator>Administrator</dc:creator>
  <cp:lastModifiedBy>张磊</cp:lastModifiedBy>
  <cp:lastPrinted>2022-04-08T09:19:54Z</cp:lastPrinted>
  <dcterms:modified xsi:type="dcterms:W3CDTF">2022-04-08T09:20:07Z</dcterms:modified>
  <dc:title>中介服务项目采购需求书模板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E347131D6C0C4135ACE5C57AD71E28D9</vt:lpwstr>
  </property>
</Properties>
</file>