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kern w:val="0"/>
        </w:rPr>
      </w:pPr>
      <w:r>
        <w:rPr>
          <w:rFonts w:hint="eastAsia" w:eastAsia="黑体"/>
          <w:kern w:val="0"/>
        </w:rPr>
        <w:t>附件</w:t>
      </w:r>
    </w:p>
    <w:p>
      <w:pPr>
        <w:widowControl/>
        <w:shd w:val="clear" w:color="auto" w:fill="FFFFFF"/>
        <w:spacing w:line="600" w:lineRule="exact"/>
        <w:jc w:val="center"/>
        <w:rPr>
          <w:rFonts w:eastAsia="方正小标宋简体"/>
          <w:kern w:val="0"/>
          <w:sz w:val="44"/>
          <w:szCs w:val="44"/>
        </w:rPr>
      </w:pPr>
      <w:bookmarkStart w:id="0" w:name="_GoBack"/>
      <w:r>
        <w:rPr>
          <w:rFonts w:hint="eastAsia" w:eastAsia="方正小标宋简体"/>
          <w:kern w:val="0"/>
          <w:sz w:val="44"/>
          <w:szCs w:val="44"/>
          <w:lang w:eastAsia="zh-CN"/>
        </w:rPr>
        <w:t>广东</w:t>
      </w:r>
      <w:r>
        <w:rPr>
          <w:rFonts w:hint="eastAsia" w:eastAsia="方正小标宋简体"/>
          <w:kern w:val="0"/>
          <w:sz w:val="44"/>
          <w:szCs w:val="44"/>
        </w:rPr>
        <w:t>省</w:t>
      </w:r>
      <w:r>
        <w:rPr>
          <w:rFonts w:ascii="Times New Roman" w:hAnsi="Times New Roman" w:eastAsia="方正小标宋简体"/>
          <w:kern w:val="0"/>
          <w:sz w:val="44"/>
          <w:szCs w:val="44"/>
        </w:rPr>
        <w:t>12345</w:t>
      </w:r>
      <w:r>
        <w:rPr>
          <w:rFonts w:hint="eastAsia" w:eastAsia="方正小标宋简体"/>
          <w:kern w:val="0"/>
          <w:sz w:val="44"/>
          <w:szCs w:val="44"/>
        </w:rPr>
        <w:t>热线归并清单</w:t>
      </w:r>
    </w:p>
    <w:bookmarkEnd w:id="0"/>
    <w:p>
      <w:pPr>
        <w:widowControl/>
        <w:shd w:val="clear" w:color="auto" w:fill="FFFFFF"/>
        <w:spacing w:line="560" w:lineRule="exact"/>
        <w:jc w:val="center"/>
        <w:rPr>
          <w:rFonts w:eastAsia="楷体_GB2312"/>
          <w:kern w:val="0"/>
        </w:rPr>
      </w:pPr>
      <w:r>
        <w:rPr>
          <w:rFonts w:hint="eastAsia" w:eastAsia="楷体_GB2312"/>
          <w:kern w:val="0"/>
        </w:rPr>
        <w:t>（</w:t>
      </w:r>
      <w:r>
        <w:rPr>
          <w:rFonts w:ascii="Times New Roman" w:hAnsi="Times New Roman" w:eastAsia="楷体_GB2312"/>
          <w:kern w:val="0"/>
        </w:rPr>
        <w:t>32</w:t>
      </w:r>
      <w:r>
        <w:rPr>
          <w:rFonts w:hint="eastAsia" w:eastAsia="楷体_GB2312"/>
          <w:kern w:val="0"/>
        </w:rPr>
        <w:t>条国家热线+</w:t>
      </w:r>
      <w:r>
        <w:rPr>
          <w:rFonts w:eastAsia="楷体_GB2312"/>
          <w:kern w:val="0"/>
        </w:rPr>
        <w:t>省内各部门自建政务服务热线</w:t>
      </w:r>
      <w:r>
        <w:rPr>
          <w:rFonts w:hint="eastAsia" w:eastAsia="楷体_GB2312"/>
          <w:kern w:val="0"/>
        </w:rPr>
        <w:t>）</w:t>
      </w:r>
    </w:p>
    <w:tbl>
      <w:tblPr>
        <w:tblStyle w:val="4"/>
        <w:tblW w:w="1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041"/>
        <w:gridCol w:w="1276"/>
        <w:gridCol w:w="3685"/>
        <w:gridCol w:w="1134"/>
        <w:gridCol w:w="1134"/>
        <w:gridCol w:w="1134"/>
        <w:gridCol w:w="1560"/>
        <w:gridCol w:w="992"/>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blHeader/>
          <w:jc w:val="center"/>
        </w:trPr>
        <w:tc>
          <w:tcPr>
            <w:tcW w:w="74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序号</w:t>
            </w:r>
          </w:p>
        </w:tc>
        <w:tc>
          <w:tcPr>
            <w:tcW w:w="2041"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责任单位</w:t>
            </w:r>
          </w:p>
        </w:tc>
        <w:tc>
          <w:tcPr>
            <w:tcW w:w="1276"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热线号码</w:t>
            </w:r>
          </w:p>
        </w:tc>
        <w:tc>
          <w:tcPr>
            <w:tcW w:w="3685"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热线名称</w:t>
            </w:r>
          </w:p>
        </w:tc>
        <w:tc>
          <w:tcPr>
            <w:tcW w:w="3402"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bCs/>
                <w:color w:val="000000"/>
                <w:kern w:val="0"/>
                <w:sz w:val="22"/>
                <w:szCs w:val="21"/>
              </w:rPr>
            </w:pPr>
            <w:r>
              <w:rPr>
                <w:rFonts w:hint="eastAsia" w:eastAsia="黑体"/>
                <w:bCs/>
                <w:color w:val="000000"/>
                <w:kern w:val="0"/>
                <w:sz w:val="22"/>
                <w:szCs w:val="21"/>
              </w:rPr>
              <w:t>整合方式</w:t>
            </w:r>
          </w:p>
        </w:tc>
        <w:tc>
          <w:tcPr>
            <w:tcW w:w="1560" w:type="dxa"/>
            <w:vMerge w:val="restart"/>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归并落地方式</w:t>
            </w:r>
          </w:p>
        </w:tc>
        <w:tc>
          <w:tcPr>
            <w:tcW w:w="99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完成</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eastAsia="黑体"/>
                <w:color w:val="000000"/>
                <w:kern w:val="0"/>
                <w:sz w:val="22"/>
                <w:szCs w:val="21"/>
              </w:rPr>
              <w:t>时间</w:t>
            </w:r>
          </w:p>
        </w:tc>
        <w:tc>
          <w:tcPr>
            <w:tcW w:w="2147"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blHeader/>
          <w:jc w:val="center"/>
        </w:trPr>
        <w:tc>
          <w:tcPr>
            <w:tcW w:w="74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p>
        </w:tc>
        <w:tc>
          <w:tcPr>
            <w:tcW w:w="2041"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p>
        </w:tc>
        <w:tc>
          <w:tcPr>
            <w:tcW w:w="127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p>
        </w:tc>
        <w:tc>
          <w:tcPr>
            <w:tcW w:w="3685"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整体并入</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黑体"/>
                <w:color w:val="000000"/>
                <w:kern w:val="0"/>
                <w:sz w:val="22"/>
                <w:szCs w:val="21"/>
              </w:rPr>
            </w:pPr>
            <w:r>
              <w:rPr>
                <w:rFonts w:hint="eastAsia" w:eastAsia="黑体"/>
                <w:color w:val="000000"/>
                <w:kern w:val="0"/>
                <w:sz w:val="22"/>
                <w:szCs w:val="21"/>
              </w:rPr>
              <w:t>双号并行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eastAsia="黑体"/>
                <w:bCs/>
                <w:color w:val="000000"/>
                <w:kern w:val="0"/>
                <w:sz w:val="22"/>
                <w:szCs w:val="21"/>
              </w:rPr>
              <w:t>设分中心</w:t>
            </w:r>
          </w:p>
        </w:tc>
        <w:tc>
          <w:tcPr>
            <w:tcW w:w="1560" w:type="dxa"/>
            <w:vMerge w:val="continue"/>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p>
        </w:tc>
        <w:tc>
          <w:tcPr>
            <w:tcW w:w="99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214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852" w:type="dxa"/>
            <w:gridSpan w:val="10"/>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default" w:ascii="Times New Roman" w:hAnsi="Times New Roman" w:eastAsia="楷体_GB2312" w:cs="Times New Roman"/>
                <w:kern w:val="0"/>
                <w:sz w:val="28"/>
              </w:rPr>
              <w:t>32</w:t>
            </w:r>
            <w:r>
              <w:rPr>
                <w:rFonts w:hint="eastAsia" w:ascii="楷体_GB2312" w:hAnsi="黑体" w:eastAsia="楷体_GB2312"/>
                <w:kern w:val="0"/>
                <w:sz w:val="28"/>
              </w:rPr>
              <w:t>条国家热线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省科技厅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12396</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全国统一科技公益服务电话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省通信管理局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12300</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全国电信用户申诉渠道咨询电话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3</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省民政厅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12349</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全国统一民政服务电话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4</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省自然资源厅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12336</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全国统一自然资源违法举报电话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5</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省商务厅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12312</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全国统一商务领域举报投诉咨询服务电话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6</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省文化和旅游厅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12301</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全国统一旅游资讯服务电话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7</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省卫生健康委</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12356</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人口和计划生育法律法规咨询及举报投诉服务专用电话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8</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省消防救援总队</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96119</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火灾隐患举报投诉电话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9</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省市场监管局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12330</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全国统一知识产权维权援助公益服务电话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10</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省市场监管局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12331</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全国统一食品药品监督举报服务电话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11</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省市场监管局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12358</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全国价格投诉举报统一电话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省市场监管局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12365</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全国质量技术监督系统和出入境检验检疫统一电话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13</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省地震局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12322</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全国防震减灾公益服务电话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8</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14</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省司法厅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12348</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全国公共法律服务专用电话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1</w:t>
            </w:r>
            <w:r>
              <w:rPr>
                <w:rFonts w:hint="eastAsia"/>
                <w:color w:val="000000"/>
                <w:kern w:val="0"/>
                <w:sz w:val="24"/>
                <w:szCs w:val="21"/>
              </w:rPr>
              <w:t>.省级保留座席</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ascii="Times New Roman" w:hAnsi="Times New Roman"/>
                <w:color w:val="000000"/>
                <w:kern w:val="0"/>
                <w:sz w:val="24"/>
                <w:szCs w:val="21"/>
              </w:rPr>
              <w:t>2</w:t>
            </w:r>
            <w:r>
              <w:rPr>
                <w:color w:val="000000"/>
                <w:kern w:val="0"/>
                <w:sz w:val="24"/>
                <w:szCs w:val="21"/>
              </w:rPr>
              <w:t>.</w:t>
            </w:r>
            <w:r>
              <w:rPr>
                <w:rFonts w:hint="eastAsia"/>
                <w:color w:val="000000"/>
                <w:kern w:val="0"/>
                <w:sz w:val="24"/>
                <w:szCs w:val="21"/>
              </w:rPr>
              <w:t>设专家座席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15</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省人力资源社会保障厅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12333</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spacing w:val="-6"/>
                <w:kern w:val="0"/>
                <w:sz w:val="24"/>
                <w:szCs w:val="21"/>
              </w:rPr>
              <w:t>全国人力资源和社会保障服务电话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ascii="Times New Roman" w:hAnsi="Times New Roman"/>
                <w:color w:val="000000"/>
                <w:kern w:val="0"/>
                <w:sz w:val="24"/>
                <w:szCs w:val="21"/>
              </w:rPr>
              <w:t>1</w:t>
            </w:r>
            <w:r>
              <w:rPr>
                <w:color w:val="000000"/>
                <w:kern w:val="0"/>
                <w:sz w:val="24"/>
                <w:szCs w:val="21"/>
              </w:rPr>
              <w:t>.</w:t>
            </w:r>
            <w:r>
              <w:rPr>
                <w:rFonts w:hint="eastAsia"/>
                <w:color w:val="000000"/>
                <w:kern w:val="0"/>
                <w:sz w:val="24"/>
                <w:szCs w:val="21"/>
              </w:rPr>
              <w:t>省级不保留座席</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2</w:t>
            </w:r>
            <w:r>
              <w:rPr>
                <w:rFonts w:hint="eastAsia"/>
                <w:color w:val="000000"/>
                <w:kern w:val="0"/>
                <w:sz w:val="24"/>
                <w:szCs w:val="21"/>
              </w:rPr>
              <w:t>.设专家座席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16</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省生态环境厅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12369</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环境保护投诉举报电话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17</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000000"/>
                <w:kern w:val="0"/>
                <w:sz w:val="24"/>
                <w:szCs w:val="21"/>
              </w:rPr>
            </w:pPr>
            <w:r>
              <w:rPr>
                <w:rFonts w:hint="eastAsia"/>
                <w:color w:val="000000"/>
                <w:kern w:val="0"/>
                <w:sz w:val="24"/>
                <w:szCs w:val="21"/>
              </w:rPr>
              <w:t>省住房城乡</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建设厅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12319</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全国住房和城乡建设服务电话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18</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000000"/>
                <w:kern w:val="0"/>
                <w:sz w:val="24"/>
                <w:szCs w:val="21"/>
              </w:rPr>
            </w:pPr>
            <w:r>
              <w:rPr>
                <w:rFonts w:hint="eastAsia"/>
                <w:color w:val="000000"/>
                <w:kern w:val="0"/>
                <w:sz w:val="24"/>
                <w:szCs w:val="21"/>
              </w:rPr>
              <w:t>省住房城乡</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建设厅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12329</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spacing w:val="-6"/>
                <w:kern w:val="0"/>
                <w:sz w:val="24"/>
                <w:szCs w:val="21"/>
              </w:rPr>
              <w:t>全国统一住房公积金热线服务电话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color w:val="000000"/>
                <w:kern w:val="0"/>
                <w:sz w:val="24"/>
                <w:szCs w:val="21"/>
              </w:rPr>
              <w:t>设专家座席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19</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省交通运输厅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12328</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全国交通运输服务监督电话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color w:val="000000"/>
                <w:kern w:val="0"/>
                <w:sz w:val="24"/>
                <w:szCs w:val="21"/>
              </w:rPr>
              <w:t>省级不保留座席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20</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省农业农村厅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12316</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全国农业系统公益服务电话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1</w:t>
            </w:r>
            <w:r>
              <w:rPr>
                <w:rFonts w:hint="eastAsia"/>
                <w:color w:val="000000"/>
                <w:kern w:val="0"/>
                <w:sz w:val="24"/>
                <w:szCs w:val="21"/>
              </w:rPr>
              <w:t>.省级不保留座席</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2</w:t>
            </w:r>
            <w:r>
              <w:rPr>
                <w:rFonts w:hint="eastAsia"/>
                <w:color w:val="000000"/>
                <w:kern w:val="0"/>
                <w:sz w:val="24"/>
                <w:szCs w:val="21"/>
              </w:rPr>
              <w:t>.设专家座席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21</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省文化和旅游厅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12318</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全国文化市场举报电话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22</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省卫生健康委</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12320</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全国统一公共卫生公益服务电话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color w:val="000000"/>
                <w:kern w:val="0"/>
                <w:sz w:val="24"/>
                <w:szCs w:val="21"/>
              </w:rPr>
              <w:t>设专家座席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23</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省应急管理厅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12350</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全国统一安全生产举报投诉电话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color w:val="000000"/>
                <w:kern w:val="0"/>
                <w:sz w:val="24"/>
                <w:szCs w:val="21"/>
              </w:rPr>
              <w:t>省级不保留座席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24</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省市场监管局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12315</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12315</w:t>
            </w:r>
            <w:r>
              <w:rPr>
                <w:rFonts w:hint="eastAsia"/>
                <w:color w:val="000000"/>
                <w:kern w:val="0"/>
                <w:sz w:val="24"/>
                <w:szCs w:val="21"/>
              </w:rPr>
              <w:t>市场监管投诉举报热线</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25</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省医保局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12393</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医疗保障服务热线</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26</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省农业农村厅</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12317</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全国扶贫监督举报平台电话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1</w:t>
            </w:r>
            <w:r>
              <w:rPr>
                <w:rFonts w:hint="eastAsia"/>
                <w:color w:val="000000"/>
                <w:kern w:val="0"/>
                <w:sz w:val="24"/>
                <w:szCs w:val="21"/>
              </w:rPr>
              <w:t>.省级不保留座席</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2</w:t>
            </w:r>
            <w:r>
              <w:rPr>
                <w:rFonts w:hint="eastAsia"/>
                <w:color w:val="000000"/>
                <w:kern w:val="0"/>
                <w:sz w:val="24"/>
                <w:szCs w:val="21"/>
              </w:rPr>
              <w:t>.设专家座席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27</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省残联</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12385</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全国残疾人维权服务电话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市</w:t>
            </w:r>
            <w:r>
              <w:rPr>
                <w:rFonts w:ascii="Times New Roman" w:hAnsi="Times New Roman"/>
                <w:color w:val="000000"/>
                <w:kern w:val="0"/>
                <w:sz w:val="24"/>
                <w:szCs w:val="21"/>
              </w:rPr>
              <w:t>12345</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28</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000000"/>
                <w:kern w:val="0"/>
                <w:sz w:val="24"/>
                <w:szCs w:val="21"/>
              </w:rPr>
            </w:pPr>
            <w:r>
              <w:rPr>
                <w:rFonts w:hint="eastAsia"/>
                <w:color w:val="000000"/>
                <w:kern w:val="0"/>
                <w:sz w:val="24"/>
                <w:szCs w:val="21"/>
              </w:rPr>
              <w:t>海关总署</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广东分署</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12360</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全国统一海关公益服务电话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1</w:t>
            </w:r>
            <w:r>
              <w:rPr>
                <w:rFonts w:hint="eastAsia"/>
                <w:color w:val="000000"/>
                <w:kern w:val="0"/>
                <w:sz w:val="24"/>
                <w:szCs w:val="21"/>
              </w:rPr>
              <w:t>.省市两级归并</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color w:val="000000"/>
                <w:kern w:val="0"/>
                <w:sz w:val="24"/>
                <w:szCs w:val="21"/>
              </w:rPr>
            </w:pPr>
            <w:r>
              <w:rPr>
                <w:rFonts w:hint="eastAsia" w:ascii="Times New Roman" w:hAnsi="Times New Roman"/>
                <w:color w:val="000000"/>
                <w:kern w:val="0"/>
                <w:sz w:val="24"/>
                <w:szCs w:val="21"/>
              </w:rPr>
              <w:t>2</w:t>
            </w:r>
            <w:r>
              <w:rPr>
                <w:rFonts w:hint="eastAsia"/>
                <w:color w:val="000000"/>
                <w:kern w:val="0"/>
                <w:sz w:val="24"/>
                <w:szCs w:val="21"/>
              </w:rPr>
              <w:t>.</w:t>
            </w:r>
            <w:r>
              <w:rPr>
                <w:rFonts w:hint="eastAsia"/>
                <w:kern w:val="0"/>
                <w:sz w:val="24"/>
                <w:szCs w:val="28"/>
              </w:rPr>
              <w:t>按照直属海关所在地级市归并</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9</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29</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省税务局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12366</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全国税务系统统一电话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30</w:t>
            </w:r>
          </w:p>
        </w:tc>
        <w:tc>
          <w:tcPr>
            <w:tcW w:w="204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省烟草专卖局</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12313</w:t>
            </w:r>
          </w:p>
        </w:tc>
        <w:tc>
          <w:tcPr>
            <w:tcW w:w="368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spacing w:val="-6"/>
                <w:kern w:val="0"/>
                <w:sz w:val="24"/>
                <w:szCs w:val="21"/>
              </w:rPr>
              <w:t>全国烟草专卖品市场监管举报电话</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560" w:type="dxa"/>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rFonts w:hint="eastAsia"/>
                <w:color w:val="000000"/>
                <w:kern w:val="0"/>
                <w:sz w:val="24"/>
                <w:szCs w:val="21"/>
              </w:rPr>
              <w:t>月底</w:t>
            </w:r>
          </w:p>
        </w:tc>
        <w:tc>
          <w:tcPr>
            <w:tcW w:w="214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31</w:t>
            </w:r>
          </w:p>
        </w:tc>
        <w:tc>
          <w:tcPr>
            <w:tcW w:w="2041"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省公安厅</w:t>
            </w:r>
          </w:p>
        </w:tc>
        <w:tc>
          <w:tcPr>
            <w:tcW w:w="1276"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12367</w:t>
            </w:r>
          </w:p>
        </w:tc>
        <w:tc>
          <w:tcPr>
            <w:tcW w:w="368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国家移民管理局</w:t>
            </w:r>
            <w:r>
              <w:rPr>
                <w:rFonts w:ascii="Times New Roman" w:hAnsi="Times New Roman"/>
                <w:color w:val="000000"/>
                <w:kern w:val="0"/>
                <w:sz w:val="24"/>
                <w:szCs w:val="21"/>
              </w:rPr>
              <w:t>12367</w:t>
            </w:r>
            <w:r>
              <w:rPr>
                <w:rFonts w:hint="eastAsia"/>
                <w:color w:val="000000"/>
                <w:kern w:val="0"/>
                <w:sz w:val="24"/>
                <w:szCs w:val="21"/>
              </w:rPr>
              <w:t>咨询服务热线</w:t>
            </w:r>
          </w:p>
        </w:tc>
        <w:tc>
          <w:tcPr>
            <w:tcW w:w="1134"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56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9</w:t>
            </w:r>
            <w:r>
              <w:rPr>
                <w:rFonts w:hint="eastAsia"/>
                <w:color w:val="000000"/>
                <w:kern w:val="0"/>
                <w:sz w:val="24"/>
                <w:szCs w:val="21"/>
              </w:rPr>
              <w:t>月底</w:t>
            </w:r>
          </w:p>
        </w:tc>
        <w:tc>
          <w:tcPr>
            <w:tcW w:w="2147"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32</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省邮政管理局</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12305</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全国邮政业用户申诉电话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rFonts w:hint="eastAsia"/>
                <w:color w:val="000000"/>
                <w:kern w:val="0"/>
                <w:sz w:val="24"/>
                <w:szCs w:val="21"/>
              </w:rPr>
              <w:t>省市两级</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9</w:t>
            </w:r>
            <w:r>
              <w:rPr>
                <w:rFonts w:hint="eastAsia"/>
                <w:color w:val="000000"/>
                <w:kern w:val="0"/>
                <w:sz w:val="24"/>
                <w:szCs w:val="21"/>
              </w:rPr>
              <w:t>月底</w:t>
            </w:r>
          </w:p>
        </w:tc>
        <w:tc>
          <w:tcPr>
            <w:tcW w:w="2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8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楷体_GB2312" w:hAnsi="黑体" w:eastAsia="楷体_GB2312"/>
                <w:color w:val="000000"/>
                <w:kern w:val="0"/>
                <w:sz w:val="24"/>
                <w:szCs w:val="21"/>
              </w:rPr>
            </w:pPr>
            <w:r>
              <w:rPr>
                <w:rFonts w:hint="eastAsia" w:ascii="楷体_GB2312" w:hAnsi="黑体" w:eastAsia="楷体_GB2312"/>
                <w:kern w:val="0"/>
                <w:sz w:val="28"/>
              </w:rPr>
              <w:t>省内各部门自建政务服务热线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省市场监管局</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96315</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广东省举报处置侵犯知识产权和制售假冒伪劣商品违法行为智慧监管平台专线电话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省</w:t>
            </w:r>
            <w:r>
              <w:rPr>
                <w:rFonts w:ascii="Times New Roman" w:hAnsi="Times New Roman"/>
                <w:color w:val="000000"/>
                <w:kern w:val="0"/>
                <w:sz w:val="24"/>
                <w:szCs w:val="21"/>
              </w:rPr>
              <w:t>12345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9</w:t>
            </w:r>
            <w:r>
              <w:rPr>
                <w:color w:val="000000"/>
                <w:kern w:val="0"/>
                <w:sz w:val="24"/>
                <w:szCs w:val="21"/>
              </w:rPr>
              <w:t>月底</w:t>
            </w:r>
          </w:p>
        </w:tc>
        <w:tc>
          <w:tcPr>
            <w:tcW w:w="2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2</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省水利厅</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10101101</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广东省河长热线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省市两级</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10</w:t>
            </w:r>
            <w:r>
              <w:rPr>
                <w:color w:val="000000"/>
                <w:kern w:val="0"/>
                <w:sz w:val="24"/>
                <w:szCs w:val="21"/>
              </w:rPr>
              <w:t>月底</w:t>
            </w:r>
          </w:p>
        </w:tc>
        <w:tc>
          <w:tcPr>
            <w:tcW w:w="2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r>
              <w:rPr>
                <w:rFonts w:hint="eastAsia"/>
                <w:color w:val="000000"/>
                <w:kern w:val="0"/>
                <w:sz w:val="24"/>
                <w:szCs w:val="21"/>
              </w:rPr>
              <w:t>省级不保留座席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ascii="Times New Roman" w:hAnsi="Times New Roman"/>
                <w:color w:val="000000"/>
                <w:kern w:val="0"/>
                <w:sz w:val="24"/>
                <w:szCs w:val="21"/>
              </w:rPr>
              <w:t>3</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省直各部门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其他未在清单上的各部门自行设立的政务服务热线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00"/>
                <w:kern w:val="0"/>
                <w:sz w:val="24"/>
                <w:szCs w:val="21"/>
              </w:rPr>
            </w:pPr>
            <w:r>
              <w:rPr>
                <w:color w:val="000000"/>
                <w:kern w:val="0"/>
                <w:sz w:val="24"/>
                <w:szCs w:val="21"/>
              </w:rPr>
              <w:t>省</w:t>
            </w:r>
            <w:r>
              <w:rPr>
                <w:rFonts w:ascii="Times New Roman" w:hAnsi="Times New Roman"/>
                <w:color w:val="000000"/>
                <w:kern w:val="0"/>
                <w:sz w:val="24"/>
                <w:szCs w:val="21"/>
              </w:rPr>
              <w:t>12345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color w:val="000000"/>
                <w:kern w:val="0"/>
                <w:sz w:val="24"/>
                <w:szCs w:val="21"/>
              </w:rPr>
            </w:pPr>
            <w:r>
              <w:rPr>
                <w:rFonts w:hint="eastAsia" w:ascii="Times New Roman" w:hAnsi="Times New Roman"/>
                <w:color w:val="000000"/>
                <w:kern w:val="0"/>
                <w:sz w:val="24"/>
                <w:szCs w:val="21"/>
              </w:rPr>
              <w:t>9</w:t>
            </w:r>
            <w:r>
              <w:rPr>
                <w:color w:val="000000"/>
                <w:kern w:val="0"/>
                <w:sz w:val="24"/>
                <w:szCs w:val="21"/>
              </w:rPr>
              <w:t>月底</w:t>
            </w:r>
          </w:p>
        </w:tc>
        <w:tc>
          <w:tcPr>
            <w:tcW w:w="2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8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color w:val="000000"/>
                <w:kern w:val="0"/>
                <w:sz w:val="24"/>
                <w:szCs w:val="24"/>
              </w:rPr>
            </w:pPr>
            <w:r>
              <w:rPr>
                <w:rFonts w:hint="eastAsia"/>
                <w:color w:val="000000"/>
                <w:kern w:val="0"/>
                <w:sz w:val="24"/>
                <w:szCs w:val="24"/>
              </w:rPr>
              <w:t>备注：各地级以上市可结合本地实际推进本级政务服务便民热线归并工作，探索对设分中心的热线以整体并入、双号并行方式归并。</w:t>
            </w:r>
          </w:p>
        </w:tc>
      </w:tr>
    </w:tbl>
    <w:p/>
    <w:sectPr>
      <w:footerReference r:id="rId3" w:type="default"/>
      <w:pgSz w:w="16838" w:h="11906" w:orient="landscape"/>
      <w:pgMar w:top="1800" w:right="1440" w:bottom="1800" w:left="1440" w:header="851" w:footer="992" w:gutter="0"/>
      <w:pgNumType w:fmt="decimal" w:start="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仿宋_GB2312"/>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85A05"/>
    <w:rsid w:val="00D64593"/>
    <w:rsid w:val="0D6232E2"/>
    <w:rsid w:val="15962687"/>
    <w:rsid w:val="19CC1F59"/>
    <w:rsid w:val="32F445C0"/>
    <w:rsid w:val="34900D87"/>
    <w:rsid w:val="3A185A05"/>
    <w:rsid w:val="3BF434FE"/>
    <w:rsid w:val="4A51428D"/>
    <w:rsid w:val="5AF066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2021-07-01T02:57:00Z</dcterms:created>
  <dc:creator>3040</dc:creator>
  <cp:lastModifiedBy>zw_zhengjr</cp:lastModifiedBy>
  <cp:lastPrinted>2021-07-01T08:44:00Z</cp:lastPrinted>
  <dcterms:modified xsi:type="dcterms:W3CDTF">2021-10-20T03:07:21Z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