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立项用地规划许可阶段并联审批办事指南</w:t>
      </w:r>
    </w:p>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送审</w:t>
      </w:r>
      <w:r>
        <w:rPr>
          <w:rFonts w:hint="eastAsia" w:asciiTheme="minorEastAsia" w:hAnsiTheme="minorEastAsia" w:cstheme="minorEastAsia"/>
          <w:sz w:val="24"/>
          <w:szCs w:val="24"/>
          <w:highlight w:val="none"/>
        </w:rPr>
        <w:t>稿)</w:t>
      </w:r>
    </w:p>
    <w:p>
      <w:pPr>
        <w:jc w:val="center"/>
        <w:rPr>
          <w:rFonts w:ascii="黑体" w:hAnsi="黑体" w:eastAsia="黑体" w:cs="黑体"/>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一、事项目录</w:t>
      </w:r>
    </w:p>
    <w:tbl>
      <w:tblPr>
        <w:tblStyle w:val="20"/>
        <w:tblpPr w:vertAnchor="text" w:horzAnchor="margin" w:tblpY="153"/>
        <w:tblOverlap w:val="never"/>
        <w:tblW w:w="9043" w:type="dxa"/>
        <w:tblInd w:w="0" w:type="dxa"/>
        <w:tblLayout w:type="fixed"/>
        <w:tblCellMar>
          <w:top w:w="81" w:type="dxa"/>
          <w:left w:w="14" w:type="dxa"/>
          <w:bottom w:w="0" w:type="dxa"/>
          <w:right w:w="14" w:type="dxa"/>
        </w:tblCellMar>
      </w:tblPr>
      <w:tblGrid>
        <w:gridCol w:w="567"/>
        <w:gridCol w:w="1031"/>
        <w:gridCol w:w="3825"/>
        <w:gridCol w:w="1183"/>
        <w:gridCol w:w="2437"/>
      </w:tblGrid>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7"/>
              <w:jc w:val="center"/>
              <w:rPr>
                <w:sz w:val="24"/>
                <w:szCs w:val="24"/>
                <w:highlight w:val="none"/>
              </w:rPr>
            </w:pPr>
            <w:r>
              <w:rPr>
                <w:sz w:val="24"/>
                <w:szCs w:val="24"/>
                <w:highlight w:val="none"/>
              </w:rPr>
              <w:t>序号</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sz w:val="24"/>
                <w:szCs w:val="24"/>
                <w:highlight w:val="none"/>
              </w:rPr>
            </w:pPr>
            <w:r>
              <w:rPr>
                <w:sz w:val="24"/>
                <w:szCs w:val="24"/>
                <w:highlight w:val="none"/>
              </w:rPr>
              <w:t>所属部门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sz w:val="24"/>
                <w:szCs w:val="24"/>
                <w:highlight w:val="none"/>
              </w:rPr>
              <w:t>申办事项名称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3"/>
              <w:jc w:val="center"/>
              <w:rPr>
                <w:sz w:val="24"/>
                <w:szCs w:val="24"/>
                <w:highlight w:val="none"/>
              </w:rPr>
            </w:pPr>
            <w:r>
              <w:rPr>
                <w:rFonts w:hint="eastAsia"/>
                <w:sz w:val="24"/>
                <w:szCs w:val="24"/>
                <w:highlight w:val="none"/>
              </w:rPr>
              <w:t>承诺时限</w:t>
            </w:r>
          </w:p>
          <w:p>
            <w:pPr>
              <w:spacing w:line="259" w:lineRule="auto"/>
              <w:ind w:left="3"/>
              <w:jc w:val="center"/>
              <w:rPr>
                <w:sz w:val="24"/>
                <w:szCs w:val="24"/>
                <w:highlight w:val="none"/>
              </w:rPr>
            </w:pPr>
            <w:r>
              <w:rPr>
                <w:rFonts w:hint="eastAsia"/>
                <w:sz w:val="24"/>
                <w:szCs w:val="24"/>
                <w:highlight w:val="none"/>
              </w:rPr>
              <w:t>（工作日）</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sz w:val="24"/>
                <w:szCs w:val="24"/>
                <w:highlight w:val="none"/>
              </w:rPr>
            </w:pPr>
            <w:r>
              <w:rPr>
                <w:sz w:val="24"/>
                <w:szCs w:val="24"/>
                <w:highlight w:val="none"/>
              </w:rPr>
              <w:t>备注</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发改部门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政府投资项目审批（项目建议书）</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政府投资项目审批（可行性研究报告）</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right="17" w:hanging="10"/>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企业投资项目核准</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right="17" w:hanging="10"/>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 w:right="17" w:hanging="10"/>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固定资产投资项目节能审查</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439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widowControl/>
              <w:spacing w:line="264" w:lineRule="auto"/>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3</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1031" w:type="dxa"/>
            <w:vMerge w:val="restart"/>
            <w:tcBorders>
              <w:top w:val="single" w:color="000000" w:sz="4" w:space="0"/>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自然资源部门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建设项目选址意见书核发</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8</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建设项目用地预审</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8</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eastAsia="zh-CN"/>
              </w:rPr>
              <w:t>视情况选择办理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建设用地（含临时用地）规划许可证核发</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必办</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海域使用权初始审核、审批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无居民海岛开发利用审批、审查</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Style w:val="28"/>
                <w:rFonts w:hint="default" w:asciiTheme="minorEastAsia" w:hAnsiTheme="minorEastAsia" w:eastAsiaTheme="minorEastAsia" w:cstheme="minorEastAsia"/>
                <w:b w:val="0"/>
                <w:color w:val="auto"/>
                <w:sz w:val="21"/>
                <w:szCs w:val="21"/>
                <w:highlight w:val="none"/>
                <w:lang w:bidi="ar"/>
              </w:rPr>
              <w:t>建设工程使用林地审核、审批：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森林经营单位在所经营的林地范围内修筑直接为林业生产服务的工程设施占用林地审批；</w:t>
            </w:r>
            <w:r>
              <w:rPr>
                <w:rStyle w:val="30"/>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建设工程临时占用林地审批；建设工程永久占用林地审核。</w:t>
            </w:r>
            <w:r>
              <w:rPr>
                <w:rStyle w:val="30"/>
                <w:rFonts w:hint="default" w:asciiTheme="minorEastAsia" w:hAnsiTheme="minorEastAsia" w:eastAsiaTheme="minorEastAsia" w:cstheme="minorEastAsia"/>
                <w:color w:val="auto"/>
                <w:sz w:val="21"/>
                <w:szCs w:val="21"/>
                <w:highlight w:val="none"/>
                <w:lang w:bidi="ar"/>
              </w:rPr>
              <w:br w:type="textWrapping"/>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国有建设用地供地审核</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kern w:val="0"/>
                <w:szCs w:val="21"/>
                <w:highlight w:val="none"/>
                <w:lang w:val="en-US" w:eastAsia="zh-CN" w:bidi="ar"/>
              </w:rPr>
              <w:t>9</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临时用地审批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国安部门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涉及国家安全事项的建设项目审批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交通部门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Style w:val="31"/>
                <w:rFonts w:hint="default" w:asciiTheme="minorEastAsia" w:hAnsiTheme="minorEastAsia" w:eastAsiaTheme="minorEastAsia" w:cstheme="minorEastAsia"/>
                <w:color w:val="auto"/>
                <w:sz w:val="21"/>
                <w:szCs w:val="21"/>
                <w:highlight w:val="none"/>
                <w:lang w:bidi="ar"/>
              </w:rPr>
              <w:t>港口岸线使用审批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29"/>
                <w:rFonts w:hint="default" w:asciiTheme="minorEastAsia" w:hAnsiTheme="minorEastAsia" w:eastAsiaTheme="minorEastAsia" w:cstheme="minorEastAsia"/>
                <w:color w:val="auto"/>
                <w:sz w:val="21"/>
                <w:szCs w:val="21"/>
                <w:highlight w:val="none"/>
                <w:lang w:bidi="ar"/>
              </w:rPr>
              <w:t>（港口非深水岸线使用审批）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716" w:hRule="atLeast"/>
        </w:trPr>
        <w:tc>
          <w:tcPr>
            <w:tcW w:w="567" w:type="dxa"/>
            <w:tcBorders>
              <w:top w:val="single" w:color="000000" w:sz="4" w:space="0"/>
              <w:left w:val="single" w:color="000000" w:sz="4" w:space="0"/>
              <w:bottom w:val="single" w:color="auto"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1031" w:type="dxa"/>
            <w:tcBorders>
              <w:top w:val="single" w:color="000000" w:sz="4" w:space="0"/>
              <w:left w:val="single" w:color="000000" w:sz="4" w:space="0"/>
              <w:bottom w:val="single" w:color="auto"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生态</w:t>
            </w:r>
            <w:r>
              <w:rPr>
                <w:rFonts w:hint="eastAsia" w:asciiTheme="minorEastAsia" w:hAnsiTheme="minorEastAsia" w:cstheme="minorEastAsia"/>
                <w:szCs w:val="21"/>
                <w:highlight w:val="none"/>
                <w:lang w:eastAsia="zh-CN"/>
              </w:rPr>
              <w:t>环境</w:t>
            </w:r>
            <w:r>
              <w:rPr>
                <w:rFonts w:hint="eastAsia" w:asciiTheme="minorEastAsia" w:hAnsiTheme="minorEastAsia" w:cstheme="minorEastAsia"/>
                <w:szCs w:val="21"/>
                <w:highlight w:val="none"/>
              </w:rPr>
              <w:t>部门</w:t>
            </w:r>
          </w:p>
        </w:tc>
        <w:tc>
          <w:tcPr>
            <w:tcW w:w="3825" w:type="dxa"/>
            <w:tcBorders>
              <w:top w:val="single" w:color="000000" w:sz="4" w:space="0"/>
              <w:left w:val="single" w:color="000000" w:sz="4" w:space="0"/>
              <w:bottom w:val="single" w:color="auto"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建设项目环境影响评价文件审批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25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auto"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1031" w:type="dxa"/>
            <w:vMerge w:val="restart"/>
            <w:tcBorders>
              <w:top w:val="single" w:color="auto" w:sz="4" w:space="0"/>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水利部门</w:t>
            </w:r>
          </w:p>
        </w:tc>
        <w:tc>
          <w:tcPr>
            <w:tcW w:w="3825" w:type="dxa"/>
            <w:tcBorders>
              <w:top w:val="single" w:color="auto"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生产建设项目水土保持方案审批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9</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1031" w:type="dxa"/>
            <w:vMerge w:val="continue"/>
            <w:tcBorders>
              <w:left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洪水影响评价审批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14</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601"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1031" w:type="dxa"/>
            <w:vMerge w:val="continue"/>
            <w:tcBorders>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取水许可</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szCs w:val="21"/>
                <w:highlight w:val="none"/>
              </w:rPr>
              <w:t>文广旅体部门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文物保护单位文物保护工程许可</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民宗部门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在宗教活动场所内拟改建或者新建的建筑物改变现有布局和功能的审核</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15</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1031"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民政部门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市管权限的地名命名审核、审批</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住建部门</w:t>
            </w:r>
          </w:p>
        </w:tc>
        <w:tc>
          <w:tcPr>
            <w:tcW w:w="3825" w:type="dxa"/>
            <w:tcBorders>
              <w:top w:val="single" w:color="000000" w:sz="4" w:space="0"/>
              <w:left w:val="single" w:color="000000" w:sz="4" w:space="0"/>
              <w:bottom w:val="single" w:color="000000" w:sz="4" w:space="0"/>
              <w:right w:val="single" w:color="000000" w:sz="4" w:space="0"/>
            </w:tcBorders>
            <w:vAlign w:val="center"/>
          </w:tcPr>
          <w:p>
            <w:pPr>
              <w:widowControl/>
              <w:ind w:left="10" w:hanging="10"/>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1</w:t>
            </w:r>
          </w:p>
        </w:tc>
        <w:tc>
          <w:tcPr>
            <w:tcW w:w="24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r>
        <w:tblPrEx>
          <w:tblLayout w:type="fixed"/>
          <w:tblCellMar>
            <w:top w:w="81" w:type="dxa"/>
            <w:left w:w="14" w:type="dxa"/>
            <w:bottom w:w="0" w:type="dxa"/>
            <w:right w:w="14" w:type="dxa"/>
          </w:tblCellMar>
        </w:tblPrEx>
        <w:trPr>
          <w:trHeight w:val="588" w:hRule="atLeast"/>
        </w:trPr>
        <w:tc>
          <w:tcPr>
            <w:tcW w:w="567"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1031" w:type="dxa"/>
            <w:vMerge w:val="continue"/>
            <w:tcBorders>
              <w:top w:val="single" w:color="000000" w:sz="4" w:space="0"/>
              <w:left w:val="single" w:color="000000" w:sz="4" w:space="0"/>
              <w:bottom w:val="single" w:color="000000" w:sz="8" w:space="0"/>
              <w:right w:val="single" w:color="000000" w:sz="4" w:space="0"/>
            </w:tcBorders>
            <w:vAlign w:val="center"/>
          </w:tcPr>
          <w:p>
            <w:pPr>
              <w:spacing w:line="259" w:lineRule="auto"/>
              <w:jc w:val="center"/>
              <w:rPr>
                <w:rFonts w:asciiTheme="minorEastAsia" w:hAnsiTheme="minorEastAsia" w:cstheme="minorEastAsia"/>
                <w:szCs w:val="21"/>
                <w:highlight w:val="none"/>
              </w:rPr>
            </w:pPr>
          </w:p>
        </w:tc>
        <w:tc>
          <w:tcPr>
            <w:tcW w:w="3825" w:type="dxa"/>
            <w:tcBorders>
              <w:top w:val="single" w:color="000000" w:sz="4" w:space="0"/>
              <w:left w:val="single" w:color="000000" w:sz="4" w:space="0"/>
              <w:bottom w:val="single" w:color="000000" w:sz="8" w:space="0"/>
              <w:right w:val="single" w:color="000000" w:sz="4" w:space="0"/>
            </w:tcBorders>
            <w:vAlign w:val="center"/>
          </w:tcPr>
          <w:p>
            <w:pPr>
              <w:widowControl/>
              <w:ind w:left="10" w:hanging="10"/>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1183" w:type="dxa"/>
            <w:tcBorders>
              <w:top w:val="single" w:color="000000" w:sz="4" w:space="0"/>
              <w:left w:val="single" w:color="000000" w:sz="4" w:space="0"/>
              <w:bottom w:val="single" w:color="000000" w:sz="8" w:space="0"/>
              <w:right w:val="single" w:color="000000"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2</w:t>
            </w:r>
          </w:p>
        </w:tc>
        <w:tc>
          <w:tcPr>
            <w:tcW w:w="2437"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第一、二、三阶段</w:t>
            </w:r>
          </w:p>
          <w:p>
            <w:pPr>
              <w:spacing w:line="259" w:lineRule="auto"/>
              <w:ind w:right="17"/>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按需办理</w:t>
            </w:r>
          </w:p>
        </w:tc>
      </w:tr>
    </w:tbl>
    <w:p>
      <w:pPr>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适用范围：湛江市内新建、改建、扩建的房屋建筑和市政基础设施工程项目。</w:t>
      </w:r>
    </w:p>
    <w:p>
      <w:pPr>
        <w:jc w:val="left"/>
        <w:rPr>
          <w:rFonts w:ascii="黑体" w:hAnsi="黑体" w:eastAsia="黑体" w:cs="黑体"/>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二、</w:t>
      </w:r>
      <w:r>
        <w:rPr>
          <w:rFonts w:hint="eastAsia" w:ascii="黑体" w:hAnsi="黑体" w:eastAsia="黑体" w:cs="黑体"/>
          <w:sz w:val="28"/>
          <w:szCs w:val="28"/>
          <w:highlight w:val="none"/>
          <w:lang w:eastAsia="zh-CN"/>
        </w:rPr>
        <w:t>设立</w:t>
      </w:r>
      <w:r>
        <w:rPr>
          <w:rFonts w:hint="eastAsia" w:ascii="黑体" w:hAnsi="黑体" w:eastAsia="黑体" w:cs="黑体"/>
          <w:sz w:val="28"/>
          <w:szCs w:val="28"/>
          <w:highlight w:val="none"/>
        </w:rPr>
        <w:t>依据</w:t>
      </w:r>
    </w:p>
    <w:p>
      <w:pPr>
        <w:ind w:firstLine="480" w:firstLineChars="20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1.《国务院办公厅关于全面开展工程建设项目审批制度改革的实施意见》（国办发〔2019〕11号）</w:t>
      </w:r>
    </w:p>
    <w:p>
      <w:pPr>
        <w:ind w:firstLine="480" w:firstLineChars="200"/>
        <w:jc w:val="left"/>
        <w:rPr>
          <w:rFonts w:ascii="黑体" w:hAnsi="黑体" w:eastAsia="黑体" w:cs="黑体"/>
          <w:sz w:val="28"/>
          <w:szCs w:val="28"/>
          <w:highlight w:val="none"/>
        </w:rPr>
      </w:pPr>
      <w:r>
        <w:rPr>
          <w:rFonts w:hint="eastAsia" w:cs="黑体" w:asciiTheme="minorEastAsia" w:hAnsiTheme="minorEastAsia"/>
          <w:sz w:val="24"/>
          <w:szCs w:val="24"/>
          <w:highlight w:val="none"/>
        </w:rPr>
        <w:t>2.《广东省人民政府关于印发广东省全面开展工程建设项目审批制度改革实施方案的通知》（粤府〔2019〕49号）</w:t>
      </w:r>
    </w:p>
    <w:p>
      <w:pPr>
        <w:spacing w:line="440" w:lineRule="exact"/>
        <w:ind w:firstLine="480" w:firstLineChars="20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3.《</w:t>
      </w:r>
      <w:r>
        <w:rPr>
          <w:rFonts w:hint="eastAsia" w:cs="黑体" w:asciiTheme="minorEastAsia" w:hAnsiTheme="minorEastAsia"/>
          <w:bCs/>
          <w:sz w:val="24"/>
          <w:szCs w:val="24"/>
          <w:highlight w:val="none"/>
        </w:rPr>
        <w:t>湛江市人民政府关于印发湛江市工程建设项目审批制度改革实施方案的通知</w:t>
      </w:r>
      <w:r>
        <w:rPr>
          <w:rFonts w:hint="eastAsia" w:cs="黑体" w:asciiTheme="minorEastAsia" w:hAnsiTheme="minorEastAsia"/>
          <w:sz w:val="24"/>
          <w:szCs w:val="24"/>
          <w:highlight w:val="none"/>
        </w:rPr>
        <w:t>》（湛府〔2019〕50号）</w:t>
      </w:r>
    </w:p>
    <w:p>
      <w:pPr>
        <w:spacing w:line="440" w:lineRule="exact"/>
        <w:ind w:firstLine="480" w:firstLineChars="200"/>
        <w:jc w:val="left"/>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4.各审批事项</w:t>
      </w:r>
      <w:r>
        <w:rPr>
          <w:rFonts w:hint="eastAsia" w:cs="黑体" w:asciiTheme="minorEastAsia" w:hAnsiTheme="minorEastAsia"/>
          <w:sz w:val="24"/>
          <w:szCs w:val="24"/>
          <w:highlight w:val="none"/>
          <w:lang w:eastAsia="zh-CN"/>
        </w:rPr>
        <w:t>法律</w:t>
      </w:r>
      <w:r>
        <w:rPr>
          <w:rFonts w:hint="eastAsia" w:cs="黑体" w:asciiTheme="minorEastAsia" w:hAnsiTheme="minorEastAsia"/>
          <w:sz w:val="24"/>
          <w:szCs w:val="24"/>
          <w:highlight w:val="none"/>
        </w:rPr>
        <w:t>依据</w:t>
      </w:r>
    </w:p>
    <w:p>
      <w:pPr>
        <w:spacing w:line="440" w:lineRule="exact"/>
        <w:jc w:val="left"/>
        <w:rPr>
          <w:rFonts w:cs="黑体" w:asciiTheme="minorEastAsia" w:hAnsiTheme="minorEastAsia"/>
          <w:sz w:val="24"/>
          <w:szCs w:val="24"/>
          <w:highlight w:val="none"/>
        </w:rPr>
      </w:pPr>
    </w:p>
    <w:tbl>
      <w:tblPr>
        <w:tblStyle w:val="20"/>
        <w:tblpPr w:vertAnchor="text" w:horzAnchor="page" w:tblpX="667" w:tblpY="-22"/>
        <w:tblOverlap w:val="never"/>
        <w:tblW w:w="10350" w:type="dxa"/>
        <w:tblInd w:w="0" w:type="dxa"/>
        <w:tblLayout w:type="fixed"/>
        <w:tblCellMar>
          <w:top w:w="0" w:type="dxa"/>
          <w:left w:w="0" w:type="dxa"/>
          <w:bottom w:w="0" w:type="dxa"/>
          <w:right w:w="0" w:type="dxa"/>
        </w:tblCellMar>
      </w:tblPr>
      <w:tblGrid>
        <w:gridCol w:w="555"/>
        <w:gridCol w:w="4095"/>
        <w:gridCol w:w="5700"/>
      </w:tblGrid>
      <w:tr>
        <w:tblPrEx>
          <w:tblLayout w:type="fixed"/>
        </w:tblPrEx>
        <w:trPr>
          <w:trHeight w:val="348" w:hRule="atLeast"/>
        </w:trPr>
        <w:tc>
          <w:tcPr>
            <w:tcW w:w="555"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10" w:hanging="10"/>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4095"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3"/>
              <w:jc w:val="center"/>
              <w:rPr>
                <w:rFonts w:ascii="宋体" w:hAnsi="宋体" w:eastAsia="宋体" w:cs="宋体"/>
                <w:sz w:val="24"/>
                <w:szCs w:val="24"/>
                <w:highlight w:val="none"/>
              </w:rPr>
            </w:pPr>
            <w:r>
              <w:rPr>
                <w:rFonts w:hint="eastAsia" w:ascii="宋体" w:hAnsi="宋体" w:eastAsia="宋体" w:cs="宋体"/>
                <w:sz w:val="24"/>
                <w:szCs w:val="24"/>
                <w:highlight w:val="none"/>
              </w:rPr>
              <w:t>申办事项名称</w:t>
            </w:r>
          </w:p>
        </w:tc>
        <w:tc>
          <w:tcPr>
            <w:tcW w:w="5700"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2"/>
              <w:jc w:val="center"/>
              <w:rPr>
                <w:rFonts w:ascii="宋体" w:hAnsi="宋体" w:eastAsia="宋体" w:cs="宋体"/>
                <w:sz w:val="24"/>
                <w:szCs w:val="24"/>
                <w:highlight w:val="none"/>
              </w:rPr>
            </w:pPr>
            <w:r>
              <w:rPr>
                <w:rFonts w:hint="eastAsia" w:ascii="宋体" w:hAnsi="宋体" w:eastAsia="宋体" w:cs="宋体"/>
                <w:sz w:val="24"/>
                <w:szCs w:val="24"/>
                <w:highlight w:val="none"/>
                <w:lang w:eastAsia="zh-CN"/>
              </w:rPr>
              <w:t>法律</w:t>
            </w:r>
            <w:r>
              <w:rPr>
                <w:rFonts w:hint="eastAsia" w:ascii="宋体" w:hAnsi="宋体" w:eastAsia="宋体" w:cs="宋体"/>
                <w:sz w:val="24"/>
                <w:szCs w:val="24"/>
                <w:highlight w:val="none"/>
              </w:rPr>
              <w:t>依据</w:t>
            </w:r>
          </w:p>
        </w:tc>
      </w:tr>
      <w:tr>
        <w:tblPrEx>
          <w:tblLayout w:type="fixed"/>
          <w:tblCellMar>
            <w:top w:w="0" w:type="dxa"/>
            <w:left w:w="0" w:type="dxa"/>
            <w:bottom w:w="0" w:type="dxa"/>
            <w:right w:w="0" w:type="dxa"/>
          </w:tblCellMar>
        </w:tblPrEx>
        <w:trPr>
          <w:trHeight w:val="1539"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政府投资项目审批（项目建议书）</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1.《国务院关于投资体制改革的决定》（国发〔2004〕20号）第四条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2.《中共中央国务院关于深化投融资体制改革的意见》第七条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3.《广东省省级财政性资金投资民用建筑项目管理暂行办法》第二、六条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4.《政府投资条例》（国务院第712号令）第九条</w:t>
            </w:r>
          </w:p>
        </w:tc>
      </w:tr>
      <w:tr>
        <w:tblPrEx>
          <w:tblLayout w:type="fixed"/>
          <w:tblCellMar>
            <w:top w:w="0" w:type="dxa"/>
            <w:left w:w="0" w:type="dxa"/>
            <w:bottom w:w="0" w:type="dxa"/>
            <w:right w:w="0" w:type="dxa"/>
          </w:tblCellMar>
        </w:tblPrEx>
        <w:trPr>
          <w:trHeight w:val="2104"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政府投资项目审批（可行性研究报告）</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1.《国务院关于投资体制改革的决定》（国发〔2004〕20号）第四条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2.《中共中央国务院关于深化投融资体制改革的意见》第七条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3.《广东省省级财政性资金投资民用建筑项目管理暂行办法》第二、六条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4.《政府投资条例》（国务院第712号令）第九条</w:t>
            </w:r>
          </w:p>
        </w:tc>
      </w:tr>
      <w:tr>
        <w:tblPrEx>
          <w:tblLayout w:type="fixed"/>
          <w:tblCellMar>
            <w:top w:w="0" w:type="dxa"/>
            <w:left w:w="0" w:type="dxa"/>
            <w:bottom w:w="0" w:type="dxa"/>
            <w:right w:w="0" w:type="dxa"/>
          </w:tblCellMar>
        </w:tblPrEx>
        <w:trPr>
          <w:trHeight w:val="122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企业投资项目核准</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1.《企业投资项目核准和备案管理条例》（国务院令第673号）第三条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2.《广东省人民政府关于印发广东省企业投资项目实行清单管理意见（试行）的通知》第1-5条</w:t>
            </w:r>
          </w:p>
        </w:tc>
      </w:tr>
      <w:tr>
        <w:tblPrEx>
          <w:tblLayout w:type="fixed"/>
          <w:tblCellMar>
            <w:top w:w="0" w:type="dxa"/>
            <w:left w:w="0" w:type="dxa"/>
            <w:bottom w:w="0" w:type="dxa"/>
            <w:right w:w="0" w:type="dxa"/>
          </w:tblCellMar>
        </w:tblPrEx>
        <w:trPr>
          <w:trHeight w:val="202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 xml:space="preserve">1.《企业投资项目核准和备案管理条例》（国务院令第673号）第三条 </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2.《广东省人民政府关于广东省企业投资项目实行清单管理的意见（试行）的通知》 粤府〔2015〕26号 全文</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3.《中共广东省委 广东省人民政府关于深化投融资体制改革的实施意见》粤发〔2018〕3号全文</w:t>
            </w:r>
          </w:p>
        </w:tc>
      </w:tr>
      <w:tr>
        <w:tblPrEx>
          <w:tblLayout w:type="fixed"/>
          <w:tblCellMar>
            <w:top w:w="0" w:type="dxa"/>
            <w:left w:w="0" w:type="dxa"/>
            <w:bottom w:w="0" w:type="dxa"/>
            <w:right w:w="0" w:type="dxa"/>
          </w:tblCellMar>
        </w:tblPrEx>
        <w:trPr>
          <w:trHeight w:val="123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固定资产投资项目节能审查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1.《中华人民共和国节约能源法》第十五条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2.《固定资产投资项目节能审查办法》（国家发展改革委令第44号）第二条</w:t>
            </w:r>
          </w:p>
          <w:p>
            <w:pPr>
              <w:widowControl/>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3.《广东省节约能源条例》 第十七条</w:t>
            </w:r>
          </w:p>
        </w:tc>
      </w:tr>
      <w:tr>
        <w:tblPrEx>
          <w:tblLayout w:type="fixed"/>
          <w:tblCellMar>
            <w:top w:w="0" w:type="dxa"/>
            <w:left w:w="0" w:type="dxa"/>
            <w:bottom w:w="0" w:type="dxa"/>
            <w:right w:w="0" w:type="dxa"/>
          </w:tblCellMar>
        </w:tblPrEx>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1.《中华人民共和国招标投标法》（2017年修正）第3、7、9、11条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2.《工程建设项目施工招标投标办法》（2003年国家计委等七部委令第30号，2013年修改）第10条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3.《工程建设项目可行性研究报告增加招标内容和核准招标事项暂行规定》（2001年国家计委令第9号，2013年修改）第8条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4.《广东省实施&lt;中华人民共和国招标投标法&gt;办法》（2003年）第5、12、15、16条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5.《中华人民共和国招标投标法实施条例》（2011年国务院令第613号）第7条</w:t>
            </w:r>
          </w:p>
          <w:p>
            <w:pPr>
              <w:widowControl/>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6.《广东省实施&lt;中华人民共和国招标投标法&gt;办法》 第五、十二、十五、十六条、第五条</w:t>
            </w:r>
          </w:p>
        </w:tc>
      </w:tr>
      <w:tr>
        <w:tblPrEx>
          <w:tblLayout w:type="fixed"/>
          <w:tblCellMar>
            <w:top w:w="0" w:type="dxa"/>
            <w:left w:w="0" w:type="dxa"/>
            <w:bottom w:w="0" w:type="dxa"/>
            <w:right w:w="0" w:type="dxa"/>
          </w:tblCellMar>
        </w:tblPrEx>
        <w:trPr>
          <w:trHeight w:val="1024"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建设项目选址意见书核发</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1.《城乡规划法》第三十六条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2.《广东省城乡规划条例》第二十七、三十二、三十三、三十四条</w:t>
            </w:r>
          </w:p>
        </w:tc>
      </w:tr>
      <w:tr>
        <w:tblPrEx>
          <w:tblLayout w:type="fixed"/>
          <w:tblCellMar>
            <w:top w:w="0" w:type="dxa"/>
            <w:left w:w="0" w:type="dxa"/>
            <w:bottom w:w="0" w:type="dxa"/>
            <w:right w:w="0" w:type="dxa"/>
          </w:tblCellMar>
        </w:tblPrEx>
        <w:trPr>
          <w:trHeight w:val="99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建设项目用地预审</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 xml:space="preserve">1.《中华人民共和国土地管理法》第五十二条 </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2.《中华人民共和国土地管理法实施条例》第二十二条第一款第一项</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3.《广东省土地利用总体规划条例》第二十五条</w:t>
            </w:r>
          </w:p>
        </w:tc>
      </w:tr>
      <w:tr>
        <w:tblPrEx>
          <w:tblLayout w:type="fixed"/>
          <w:tblCellMar>
            <w:top w:w="0" w:type="dxa"/>
            <w:left w:w="0" w:type="dxa"/>
            <w:bottom w:w="0" w:type="dxa"/>
            <w:right w:w="0" w:type="dxa"/>
          </w:tblCellMar>
        </w:tblPrEx>
        <w:trPr>
          <w:trHeight w:val="70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建设用地（含临时用地）规划许可证核发</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1.《城乡规划法》第三十七条</w:t>
            </w:r>
          </w:p>
          <w:p>
            <w:pPr>
              <w:widowControl/>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kern w:val="0"/>
                <w:szCs w:val="21"/>
                <w:highlight w:val="none"/>
                <w:lang w:bidi="ar"/>
              </w:rPr>
              <w:t>2.《广东省城乡规划条例》第二十七、三十七条、第二十七条</w:t>
            </w:r>
          </w:p>
        </w:tc>
      </w:tr>
      <w:tr>
        <w:tblPrEx>
          <w:tblLayout w:type="fixed"/>
          <w:tblCellMar>
            <w:top w:w="0" w:type="dxa"/>
            <w:left w:w="0" w:type="dxa"/>
            <w:bottom w:w="0" w:type="dxa"/>
            <w:right w:w="0" w:type="dxa"/>
          </w:tblCellMar>
        </w:tblPrEx>
        <w:trPr>
          <w:trHeight w:val="67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海域使用权初始审核、审批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1.《中华人民共和国海域使用管理法》第十六条</w:t>
            </w:r>
          </w:p>
          <w:p>
            <w:pPr>
              <w:widowControl/>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color w:val="000000"/>
                <w:kern w:val="0"/>
                <w:szCs w:val="21"/>
                <w:highlight w:val="none"/>
                <w:lang w:bidi="ar"/>
              </w:rPr>
              <w:t>2.《广东省海域使用管理条例》第十五</w:t>
            </w:r>
          </w:p>
        </w:tc>
      </w:tr>
      <w:tr>
        <w:tblPrEx>
          <w:tblLayout w:type="fixed"/>
          <w:tblCellMar>
            <w:top w:w="0" w:type="dxa"/>
            <w:left w:w="0" w:type="dxa"/>
            <w:bottom w:w="0" w:type="dxa"/>
            <w:right w:w="0" w:type="dxa"/>
          </w:tblCellMar>
        </w:tblPrEx>
        <w:trPr>
          <w:trHeight w:val="1558"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无居民海岛开发利用审批、审查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1.《中华人民共和国海岛保护法》第三十条</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2.《国家海洋局关于印发&lt;无居民海岛开发利用审批办法&gt;的通知》</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3.《广东省自然资源厅关于印发无居民海岛使用权市场化出让办法（试行）的通知》全文条款</w:t>
            </w:r>
          </w:p>
        </w:tc>
      </w:tr>
      <w:tr>
        <w:tblPrEx>
          <w:tblLayout w:type="fixed"/>
          <w:tblCellMar>
            <w:top w:w="0" w:type="dxa"/>
            <w:left w:w="0" w:type="dxa"/>
            <w:bottom w:w="0" w:type="dxa"/>
            <w:right w:w="0" w:type="dxa"/>
          </w:tblCellMar>
        </w:tblPrEx>
        <w:trPr>
          <w:trHeight w:val="198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Style w:val="28"/>
                <w:rFonts w:hint="default" w:asciiTheme="minorEastAsia" w:hAnsiTheme="minorEastAsia" w:eastAsiaTheme="minorEastAsia" w:cstheme="minorEastAsia"/>
                <w:b w:val="0"/>
                <w:color w:val="auto"/>
                <w:sz w:val="21"/>
                <w:szCs w:val="21"/>
                <w:highlight w:val="none"/>
                <w:lang w:bidi="ar"/>
              </w:rPr>
              <w:t>建设工程使用林地审核、审批：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森林经营单位在所经营的林地范围内修筑直接为林业生产服务的工程设施占用林地审批；</w:t>
            </w:r>
            <w:r>
              <w:rPr>
                <w:rStyle w:val="30"/>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建设工程临时占用林地审批；建设工程永久占用林地审核。</w:t>
            </w:r>
            <w:r>
              <w:rPr>
                <w:rStyle w:val="30"/>
                <w:rFonts w:hint="default" w:asciiTheme="minorEastAsia" w:hAnsiTheme="minorEastAsia" w:eastAsiaTheme="minorEastAsia" w:cstheme="minorEastAsia"/>
                <w:color w:val="auto"/>
                <w:sz w:val="21"/>
                <w:szCs w:val="21"/>
                <w:highlight w:val="none"/>
                <w:lang w:bidi="ar"/>
              </w:rPr>
              <w:br w:type="textWrapping"/>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1.《中华人民共和国森林法》第十</w:t>
            </w:r>
            <w:r>
              <w:rPr>
                <w:rFonts w:hint="eastAsia" w:asciiTheme="minorEastAsia" w:hAnsiTheme="minorEastAsia" w:cstheme="minorEastAsia"/>
                <w:color w:val="000000"/>
                <w:kern w:val="0"/>
                <w:szCs w:val="21"/>
                <w:highlight w:val="none"/>
                <w:lang w:eastAsia="zh-CN" w:bidi="ar"/>
              </w:rPr>
              <w:t>六</w:t>
            </w:r>
            <w:r>
              <w:rPr>
                <w:rFonts w:hint="eastAsia" w:asciiTheme="minorEastAsia" w:hAnsiTheme="minorEastAsia" w:cstheme="minorEastAsia"/>
                <w:color w:val="000000"/>
                <w:kern w:val="0"/>
                <w:szCs w:val="21"/>
                <w:highlight w:val="none"/>
                <w:lang w:bidi="ar"/>
              </w:rPr>
              <w:t>条</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2.《中华人民共和国森林法实施条例》第十七条</w:t>
            </w:r>
            <w:r>
              <w:rPr>
                <w:rFonts w:hint="eastAsia" w:asciiTheme="minorEastAsia" w:hAnsiTheme="minorEastAsia" w:cstheme="minorEastAsia"/>
                <w:color w:val="000000"/>
                <w:kern w:val="0"/>
                <w:szCs w:val="21"/>
                <w:highlight w:val="none"/>
                <w:lang w:eastAsia="zh-CN" w:bidi="ar"/>
              </w:rPr>
              <w:t>、十八条</w:t>
            </w:r>
          </w:p>
        </w:tc>
      </w:tr>
      <w:tr>
        <w:tblPrEx>
          <w:tblLayout w:type="fixed"/>
          <w:tblCellMar>
            <w:top w:w="0" w:type="dxa"/>
            <w:left w:w="0" w:type="dxa"/>
            <w:bottom w:w="0" w:type="dxa"/>
            <w:right w:w="0" w:type="dxa"/>
          </w:tblCellMar>
        </w:tblPrEx>
        <w:trPr>
          <w:trHeight w:val="1876"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国有建设用地供地审核</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1.《中华人民共和国土地管理法》第五十六条</w:t>
            </w:r>
          </w:p>
          <w:p>
            <w:pPr>
              <w:widowControl/>
              <w:textAlignment w:val="center"/>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2.《中华人民共和国城市房地产管理法》第十二条</w:t>
            </w:r>
          </w:p>
          <w:p>
            <w:pPr>
              <w:widowControl/>
              <w:textAlignment w:val="center"/>
              <w:rPr>
                <w:rFonts w:hint="eastAsia" w:asciiTheme="minorEastAsia" w:hAnsiTheme="minorEastAsia" w:cstheme="minorEastAsia"/>
                <w:kern w:val="0"/>
                <w:szCs w:val="21"/>
                <w:highlight w:val="none"/>
                <w:lang w:val="en-US" w:eastAsia="zh-CN" w:bidi="ar"/>
              </w:rPr>
            </w:pPr>
            <w:r>
              <w:rPr>
                <w:rFonts w:hint="eastAsia" w:asciiTheme="minorEastAsia" w:hAnsiTheme="minorEastAsia" w:cstheme="minorEastAsia"/>
                <w:kern w:val="0"/>
                <w:szCs w:val="21"/>
                <w:highlight w:val="none"/>
                <w:lang w:val="en-US" w:eastAsia="zh-CN" w:bidi="ar"/>
              </w:rPr>
              <w:t>3.《中华人民共和国土地管理法》第四十三条、五十三条、五十四条</w:t>
            </w:r>
          </w:p>
          <w:p>
            <w:pPr>
              <w:widowControl/>
              <w:textAlignment w:val="center"/>
              <w:rPr>
                <w:rFonts w:hint="default" w:asciiTheme="minorEastAsia" w:hAnsiTheme="minorEastAsia" w:cstheme="minorEastAsia"/>
                <w:kern w:val="0"/>
                <w:szCs w:val="21"/>
                <w:highlight w:val="none"/>
                <w:lang w:val="en-US" w:eastAsia="zh-CN" w:bidi="ar"/>
              </w:rPr>
            </w:pPr>
            <w:r>
              <w:rPr>
                <w:rFonts w:hint="eastAsia" w:asciiTheme="minorEastAsia" w:hAnsiTheme="minorEastAsia" w:cstheme="minorEastAsia"/>
                <w:kern w:val="0"/>
                <w:szCs w:val="21"/>
                <w:highlight w:val="none"/>
                <w:lang w:val="en-US" w:eastAsia="zh-CN" w:bidi="ar"/>
              </w:rPr>
              <w:t>4.《中华人民共和国土地管理法实施条例》第二十二条、二十九条</w:t>
            </w:r>
          </w:p>
        </w:tc>
      </w:tr>
      <w:tr>
        <w:tblPrEx>
          <w:tblLayout w:type="fixed"/>
          <w:tblCellMar>
            <w:top w:w="0" w:type="dxa"/>
            <w:left w:w="0" w:type="dxa"/>
            <w:bottom w:w="0" w:type="dxa"/>
            <w:right w:w="0" w:type="dxa"/>
          </w:tblCellMar>
        </w:tblPrEx>
        <w:trPr>
          <w:trHeight w:val="136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1.《中华人民共和国土地管理法》第五十七条</w:t>
            </w:r>
          </w:p>
          <w:p>
            <w:pPr>
              <w:widowControl/>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2.《广东省实施&lt;中华人民共和国土地管理法&gt;办法》（2008年修正）（广东省第十一届人民代表大会常务委员会公 告第15号）第三十七条</w:t>
            </w:r>
          </w:p>
        </w:tc>
      </w:tr>
      <w:tr>
        <w:tblPrEx>
          <w:tblLayout w:type="fixed"/>
          <w:tblCellMar>
            <w:top w:w="0" w:type="dxa"/>
            <w:left w:w="0" w:type="dxa"/>
            <w:bottom w:w="0" w:type="dxa"/>
            <w:right w:w="0" w:type="dxa"/>
          </w:tblCellMar>
        </w:tblPrEx>
        <w:trPr>
          <w:trHeight w:val="1648"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涉及国家安全事项的建设项目审批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extAlignment w:val="center"/>
              <w:rPr>
                <w:rFonts w:hint="eastAsia"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《中华人民共和国行政许可法》第十二条</w:t>
            </w:r>
          </w:p>
          <w:p>
            <w:pPr>
              <w:widowControl/>
              <w:numPr>
                <w:ilvl w:val="0"/>
                <w:numId w:val="1"/>
              </w:numP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《中华人民共和国国家安全法》第五十九条</w:t>
            </w:r>
          </w:p>
          <w:p>
            <w:pPr>
              <w:widowControl/>
              <w:numPr>
                <w:ilvl w:val="0"/>
                <w:numId w:val="1"/>
              </w:numP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《国务院对确需保留的行政审批项目设定行政许可的决定》第66项</w:t>
            </w:r>
          </w:p>
          <w:p>
            <w:pPr>
              <w:widowControl/>
              <w:numPr>
                <w:ilvl w:val="0"/>
                <w:numId w:val="1"/>
              </w:numP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《广东省涉及国家安全事项的建设项目管理规定》第五条</w:t>
            </w:r>
          </w:p>
        </w:tc>
      </w:tr>
      <w:tr>
        <w:tblPrEx>
          <w:tblLayout w:type="fixed"/>
          <w:tblCellMar>
            <w:top w:w="0" w:type="dxa"/>
            <w:left w:w="0" w:type="dxa"/>
            <w:bottom w:w="0" w:type="dxa"/>
            <w:right w:w="0" w:type="dxa"/>
          </w:tblCellMar>
        </w:tblPrEx>
        <w:trPr>
          <w:trHeight w:val="68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Style w:val="31"/>
                <w:rFonts w:hint="default" w:asciiTheme="minorEastAsia" w:hAnsiTheme="minorEastAsia" w:eastAsiaTheme="minorEastAsia" w:cstheme="minorEastAsia"/>
                <w:color w:val="auto"/>
                <w:sz w:val="21"/>
                <w:szCs w:val="21"/>
                <w:highlight w:val="none"/>
                <w:lang w:bidi="ar"/>
              </w:rPr>
              <w:t>港口岸线使用审批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29"/>
                <w:rFonts w:hint="default" w:asciiTheme="minorEastAsia" w:hAnsiTheme="minorEastAsia" w:eastAsiaTheme="minorEastAsia" w:cstheme="minorEastAsia"/>
                <w:color w:val="auto"/>
                <w:sz w:val="21"/>
                <w:szCs w:val="21"/>
                <w:highlight w:val="none"/>
                <w:lang w:bidi="ar"/>
              </w:rPr>
              <w:t>（港口非深水岸线使用审批）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1.《中华人民共和国港口法》第十三条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2.《广东省港口管理条例》第九条</w:t>
            </w:r>
          </w:p>
        </w:tc>
      </w:tr>
      <w:tr>
        <w:tblPrEx>
          <w:tblLayout w:type="fixed"/>
          <w:tblCellMar>
            <w:top w:w="0" w:type="dxa"/>
            <w:left w:w="0" w:type="dxa"/>
            <w:bottom w:w="0" w:type="dxa"/>
            <w:right w:w="0" w:type="dxa"/>
          </w:tblCellMar>
        </w:tblPrEx>
        <w:trPr>
          <w:trHeight w:val="285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建设项目环境影响评价文件审批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1.《中华人民共和国环境影响评价法》(中华人民共和国主席令第四十八号，2016年修改)第22、23、24条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2.《中华人民共和国放射性污染防治法》2003年第二十九条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3.《中华人民共和国环境保护法》2014年修订第十九条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4.《建设项目环境保护管理条例》（2017年修改）第6、9、10、11、12条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5.《广东省人民政府关于印发广东省建设项目环境影响评价文件分级审批办法的通知（粤府〔2019〕6号）》</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6.《广东省环境保护条例》2015年修订第二十九条</w:t>
            </w:r>
          </w:p>
        </w:tc>
      </w:tr>
      <w:tr>
        <w:tblPrEx>
          <w:tblLayout w:type="fixed"/>
          <w:tblCellMar>
            <w:top w:w="0" w:type="dxa"/>
            <w:left w:w="0" w:type="dxa"/>
            <w:bottom w:w="0" w:type="dxa"/>
            <w:right w:w="0" w:type="dxa"/>
          </w:tblCellMar>
        </w:tblPrEx>
        <w:trPr>
          <w:trHeight w:val="74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生产建设项目水土保持方案审批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1.《中华人民共和国水土保持法》第二十五条、第二十六条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2.《广东省水土保持条例》第十八条</w:t>
            </w:r>
          </w:p>
        </w:tc>
      </w:tr>
      <w:tr>
        <w:tblPrEx>
          <w:tblLayout w:type="fixed"/>
          <w:tblCellMar>
            <w:top w:w="0" w:type="dxa"/>
            <w:left w:w="0" w:type="dxa"/>
            <w:bottom w:w="0" w:type="dxa"/>
            <w:right w:w="0" w:type="dxa"/>
          </w:tblCellMar>
        </w:tblPrEx>
        <w:trPr>
          <w:trHeight w:val="194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洪水影响评价审批</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1.《中华人民共和国防洪法》第三十三条第一款</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2.《中华人民共和国水法》第十九条、第三十八条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3.《中华人民共和国水文条例》第三十三条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4.《中华人民共和国河道管理条例》第十一条</w:t>
            </w:r>
          </w:p>
          <w:p>
            <w:pPr>
              <w:widowControl/>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5.《广州市水务管理条例》 第二十三条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6.《广东省河道堤防管理条例》第七、十二条</w:t>
            </w:r>
          </w:p>
        </w:tc>
      </w:tr>
      <w:tr>
        <w:tblPrEx>
          <w:tblLayout w:type="fixed"/>
          <w:tblCellMar>
            <w:top w:w="0" w:type="dxa"/>
            <w:left w:w="0" w:type="dxa"/>
            <w:bottom w:w="0" w:type="dxa"/>
            <w:right w:w="0" w:type="dxa"/>
          </w:tblCellMar>
        </w:tblPrEx>
        <w:trPr>
          <w:trHeight w:val="127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取水许可</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1.《中华人民共和国水法》第七条、第四十八条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2.《取水许可和水资源费征收管理条例》第二条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3.《广东省实施&lt;中华人民共和国水法&gt;办法》 第二十一、二十二、二十三、二十四、二十八条</w:t>
            </w:r>
          </w:p>
        </w:tc>
      </w:tr>
      <w:tr>
        <w:tblPrEx>
          <w:tblLayout w:type="fixed"/>
          <w:tblCellMar>
            <w:top w:w="0" w:type="dxa"/>
            <w:left w:w="0" w:type="dxa"/>
            <w:bottom w:w="0" w:type="dxa"/>
            <w:right w:w="0" w:type="dxa"/>
          </w:tblCellMar>
        </w:tblPrEx>
        <w:trPr>
          <w:trHeight w:val="1415"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文物保护单位文物保护工程许可</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1.《中华人民共和国文物保护法》第十七条、第二十条、第二十条第五款、第二十九条、第三十条</w:t>
            </w:r>
          </w:p>
        </w:tc>
      </w:tr>
      <w:tr>
        <w:tblPrEx>
          <w:tblLayout w:type="fixed"/>
          <w:tblCellMar>
            <w:top w:w="0" w:type="dxa"/>
            <w:left w:w="0" w:type="dxa"/>
            <w:bottom w:w="0" w:type="dxa"/>
            <w:right w:w="0" w:type="dxa"/>
          </w:tblCellMar>
        </w:tblPrEx>
        <w:trPr>
          <w:trHeight w:val="151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在宗教活动场所内拟改建或者新建的建筑物改变现有布局和功能的审核</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1.《宗教事务条例》第三十三条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2.《广东省宗教事务条例》第二十二条</w:t>
            </w:r>
          </w:p>
        </w:tc>
      </w:tr>
      <w:tr>
        <w:tblPrEx>
          <w:tblLayout w:type="fixed"/>
          <w:tblCellMar>
            <w:top w:w="0" w:type="dxa"/>
            <w:left w:w="0" w:type="dxa"/>
            <w:bottom w:w="0" w:type="dxa"/>
            <w:right w:w="0" w:type="dxa"/>
          </w:tblCellMar>
        </w:tblPrEx>
        <w:trPr>
          <w:trHeight w:val="41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color w:val="000000"/>
                <w:kern w:val="0"/>
                <w:szCs w:val="21"/>
                <w:highlight w:val="none"/>
                <w:lang w:bidi="ar"/>
              </w:rPr>
              <w:t>市管权限的地名命名审核、审批</w:t>
            </w:r>
          </w:p>
        </w:tc>
        <w:tc>
          <w:tcPr>
            <w:tcW w:w="5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w:t>
            </w:r>
          </w:p>
        </w:tc>
      </w:tr>
      <w:tr>
        <w:tblPrEx>
          <w:tblLayout w:type="fixed"/>
          <w:tblCellMar>
            <w:top w:w="0" w:type="dxa"/>
            <w:left w:w="0" w:type="dxa"/>
            <w:bottom w:w="0" w:type="dxa"/>
            <w:right w:w="0" w:type="dxa"/>
          </w:tblCellMar>
        </w:tblPrEx>
        <w:trPr>
          <w:trHeight w:val="1347"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1.《中华人民共和国招标投标法》 第四十七条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2.《工程建设项目施工招标投标办法》第六十五条</w:t>
            </w:r>
          </w:p>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3.《房屋建筑和市政基础设施工程施工招标投标管理办法》第四十五条</w:t>
            </w:r>
          </w:p>
        </w:tc>
      </w:tr>
      <w:tr>
        <w:tblPrEx>
          <w:tblLayout w:type="fixed"/>
          <w:tblCellMar>
            <w:top w:w="0" w:type="dxa"/>
            <w:left w:w="0" w:type="dxa"/>
            <w:bottom w:w="0" w:type="dxa"/>
            <w:right w:w="0" w:type="dxa"/>
          </w:tblCellMar>
        </w:tblPrEx>
        <w:trPr>
          <w:trHeight w:val="1170" w:hRule="exact"/>
        </w:trPr>
        <w:tc>
          <w:tcPr>
            <w:tcW w:w="555"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1.《房屋建筑和市政基础设施工程施工招标投标管理办法》（住房城乡建设部令89号）第十九条、第二十条 </w:t>
            </w:r>
          </w:p>
          <w:p>
            <w:pPr>
              <w:widowControl/>
              <w:textAlignment w:val="center"/>
              <w:rPr>
                <w:rFonts w:asciiTheme="minorEastAsia" w:hAnsiTheme="minorEastAsia" w:cstheme="minorEastAsia"/>
                <w:color w:val="BFBFBF" w:themeColor="background1" w:themeShade="BF"/>
                <w:szCs w:val="21"/>
                <w:highlight w:val="none"/>
              </w:rPr>
            </w:pPr>
            <w:r>
              <w:rPr>
                <w:rFonts w:hint="eastAsia" w:asciiTheme="minorEastAsia" w:hAnsiTheme="minorEastAsia" w:cstheme="minorEastAsia"/>
                <w:szCs w:val="21"/>
                <w:highlight w:val="none"/>
              </w:rPr>
              <w:t>2.《广东省实施〈中华人民共和国招标投标法〉办法&gt;第十四条</w:t>
            </w:r>
          </w:p>
        </w:tc>
      </w:tr>
    </w:tbl>
    <w:p>
      <w:pPr>
        <w:spacing w:line="440" w:lineRule="exact"/>
        <w:jc w:val="left"/>
        <w:rPr>
          <w:rFonts w:cs="黑体" w:asciiTheme="minorEastAsia" w:hAnsiTheme="minorEastAsia"/>
          <w:sz w:val="24"/>
          <w:szCs w:val="24"/>
          <w:highlight w:val="none"/>
        </w:rPr>
      </w:pPr>
    </w:p>
    <w:p>
      <w:pPr>
        <w:ind w:firstLine="560" w:firstLineChars="200"/>
        <w:jc w:val="left"/>
        <w:rPr>
          <w:rFonts w:ascii="黑体" w:hAnsi="黑体" w:eastAsia="黑体" w:cs="黑体"/>
          <w:sz w:val="28"/>
          <w:szCs w:val="28"/>
          <w:highlight w:val="none"/>
        </w:rPr>
      </w:pPr>
      <w:r>
        <w:rPr>
          <w:rFonts w:hint="eastAsia" w:ascii="黑体" w:hAnsi="黑体" w:eastAsia="黑体" w:cs="黑体"/>
          <w:sz w:val="28"/>
          <w:szCs w:val="28"/>
          <w:highlight w:val="none"/>
        </w:rPr>
        <w:t>三、申报材料</w:t>
      </w:r>
    </w:p>
    <w:p>
      <w:pPr>
        <w:spacing w:line="500" w:lineRule="exact"/>
        <w:ind w:firstLine="600" w:firstLineChars="250"/>
        <w:jc w:val="left"/>
        <w:rPr>
          <w:rFonts w:hint="eastAsia" w:cs="黑体" w:asciiTheme="minorEastAsia" w:hAnsiTheme="minorEastAsia" w:eastAsiaTheme="minorEastAsia"/>
          <w:sz w:val="24"/>
          <w:szCs w:val="24"/>
          <w:highlight w:val="none"/>
          <w:lang w:eastAsia="zh-CN"/>
        </w:rPr>
      </w:pPr>
      <w:r>
        <w:rPr>
          <w:rFonts w:hint="eastAsia" w:cs="黑体" w:asciiTheme="minorEastAsia" w:hAnsiTheme="minorEastAsia"/>
          <w:sz w:val="24"/>
          <w:szCs w:val="24"/>
          <w:highlight w:val="none"/>
        </w:rPr>
        <w:t>申请单位在“湛江市工程建设项目联合审批系统”进行网上申请，申请材料提交原件彩色扫描文件（PDF格式）上传至系统。</w:t>
      </w:r>
      <w:r>
        <w:rPr>
          <w:rFonts w:hint="eastAsia" w:cs="黑体" w:asciiTheme="minorEastAsia" w:hAnsiTheme="minorEastAsia"/>
          <w:kern w:val="0"/>
          <w:sz w:val="24"/>
          <w:szCs w:val="24"/>
          <w:highlight w:val="none"/>
        </w:rPr>
        <w:t>纸质材料复印件需加盖公章并提供原件核对。</w:t>
      </w:r>
      <w:r>
        <w:rPr>
          <w:rFonts w:hint="eastAsia" w:cs="黑体" w:asciiTheme="minorEastAsia" w:hAnsiTheme="minorEastAsia"/>
          <w:sz w:val="24"/>
          <w:szCs w:val="24"/>
          <w:highlight w:val="none"/>
        </w:rPr>
        <w:t>申请单位根据其所选择并联办理的审批事项，按需提供相应材料，不涉及的审批事项材料无需提供。湛江市工程建设项目联合审批系统</w:t>
      </w:r>
      <w:r>
        <w:rPr>
          <w:rFonts w:hint="eastAsia" w:cs="黑体" w:asciiTheme="minorEastAsia" w:hAnsiTheme="minorEastAsia"/>
          <w:sz w:val="24"/>
          <w:szCs w:val="24"/>
          <w:highlight w:val="none"/>
          <w:lang w:eastAsia="zh-CN"/>
        </w:rPr>
        <w:t>运行后，新建的建设项目，建设单位无需提交前序审批结果文书，不同审批阶段共享申报材料，已提交过的材料，无需重复提交。</w:t>
      </w:r>
    </w:p>
    <w:p>
      <w:pPr>
        <w:spacing w:line="500" w:lineRule="exact"/>
        <w:ind w:firstLine="600" w:firstLineChars="250"/>
        <w:jc w:val="left"/>
        <w:rPr>
          <w:rFonts w:ascii="黑体" w:hAnsi="黑体" w:eastAsia="黑体" w:cs="黑体"/>
          <w:sz w:val="24"/>
          <w:szCs w:val="24"/>
          <w:highlight w:val="none"/>
        </w:rPr>
      </w:pPr>
      <w:r>
        <w:rPr>
          <w:rFonts w:hint="eastAsia" w:ascii="黑体" w:hAnsi="黑体" w:eastAsia="黑体" w:cs="黑体"/>
          <w:sz w:val="24"/>
          <w:szCs w:val="24"/>
          <w:highlight w:val="none"/>
        </w:rPr>
        <w:t>1.各审批事项材料目录</w:t>
      </w:r>
    </w:p>
    <w:tbl>
      <w:tblPr>
        <w:tblStyle w:val="14"/>
        <w:tblW w:w="9976" w:type="dxa"/>
        <w:jc w:val="center"/>
        <w:tblInd w:w="-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0"/>
        <w:gridCol w:w="3607"/>
        <w:gridCol w:w="382"/>
        <w:gridCol w:w="427"/>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50"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040"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事项名称</w:t>
            </w:r>
          </w:p>
        </w:tc>
        <w:tc>
          <w:tcPr>
            <w:tcW w:w="3607"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材料名称</w:t>
            </w:r>
          </w:p>
        </w:tc>
        <w:tc>
          <w:tcPr>
            <w:tcW w:w="809" w:type="dxa"/>
            <w:gridSpan w:val="2"/>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材料</w:t>
            </w:r>
          </w:p>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形式</w:t>
            </w:r>
          </w:p>
        </w:tc>
        <w:tc>
          <w:tcPr>
            <w:tcW w:w="277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750" w:type="dxa"/>
            <w:vMerge w:val="continue"/>
          </w:tcPr>
          <w:p>
            <w:pPr>
              <w:rPr>
                <w:rFonts w:asciiTheme="minorEastAsia" w:hAnsiTheme="minorEastAsia" w:cstheme="minorEastAsia"/>
                <w:sz w:val="24"/>
                <w:szCs w:val="24"/>
                <w:highlight w:val="none"/>
              </w:rPr>
            </w:pPr>
          </w:p>
        </w:tc>
        <w:tc>
          <w:tcPr>
            <w:tcW w:w="2040" w:type="dxa"/>
            <w:vMerge w:val="continue"/>
          </w:tcPr>
          <w:p>
            <w:pPr>
              <w:rPr>
                <w:rFonts w:asciiTheme="minorEastAsia" w:hAnsiTheme="minorEastAsia" w:cstheme="minorEastAsia"/>
                <w:sz w:val="24"/>
                <w:szCs w:val="24"/>
                <w:highlight w:val="none"/>
              </w:rPr>
            </w:pPr>
          </w:p>
          <w:p>
            <w:pPr>
              <w:rPr>
                <w:rFonts w:asciiTheme="minorEastAsia" w:hAnsiTheme="minorEastAsia" w:cstheme="minorEastAsia"/>
                <w:sz w:val="24"/>
                <w:szCs w:val="24"/>
                <w:highlight w:val="none"/>
              </w:rPr>
            </w:pPr>
          </w:p>
        </w:tc>
        <w:tc>
          <w:tcPr>
            <w:tcW w:w="3607" w:type="dxa"/>
            <w:vMerge w:val="continue"/>
          </w:tcPr>
          <w:p>
            <w:pPr>
              <w:rPr>
                <w:rFonts w:asciiTheme="minorEastAsia" w:hAnsiTheme="minorEastAsia" w:cstheme="minorEastAsia"/>
                <w:sz w:val="24"/>
                <w:szCs w:val="24"/>
                <w:highlight w:val="none"/>
              </w:rPr>
            </w:pPr>
          </w:p>
        </w:tc>
        <w:tc>
          <w:tcPr>
            <w:tcW w:w="382"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电子版</w:t>
            </w:r>
          </w:p>
        </w:tc>
        <w:tc>
          <w:tcPr>
            <w:tcW w:w="427" w:type="dxa"/>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纸质版</w:t>
            </w:r>
          </w:p>
        </w:tc>
        <w:tc>
          <w:tcPr>
            <w:tcW w:w="2770" w:type="dxa"/>
            <w:vMerge w:val="continue"/>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政府投资项目审批（项目建议书）</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项目建议书审批申请文件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项目建议书文本</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项目提出的支持材料（会议纪要、各类专项规划计划、政府投资年度计划、市政府批办意见、代建项目需市政府代建意见）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6" w:type="dxa"/>
            <w:gridSpan w:val="6"/>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政府投资项目审批（可行性研究报告）</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项目建议书批复文件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已列入相关规划的项目无需提供</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可行性研究报告审批申请文件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可行性研究报告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选址意见书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用地（海）预审意见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自然资源部门明确可以不进行用地（海）预审的清形除外</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项目提出的支持材料（会议纪要、各类专项规划计划、政府投资年度计划、市政府批办意见、代建项目需市政府代建意见）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已批复项目建议书的项目无需提供</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项目主管部门意见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财政部门资金意见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项目社会稳定风险评估报告及审核意见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重大项目、按需办理</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移民安置规划审核</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涉及移民安置的大中型水利水电工程</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航道通航条件影响评价审核意见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涉及影响航道通航的项目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 w:hRule="atLeast"/>
          <w:jc w:val="center"/>
        </w:trPr>
        <w:tc>
          <w:tcPr>
            <w:tcW w:w="9976" w:type="dxa"/>
            <w:gridSpan w:val="6"/>
          </w:tcPr>
          <w:p>
            <w:pPr>
              <w:jc w:val="cente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企业投资项目核准</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项目申请报告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left"/>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选址意见书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以划拨方式提供国有土地使用权的项目。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用地（海）预审意见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自然资源部门明确可以不进行用地（海）预审的情形除外。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项目社会稳定风险评估报告及审核意见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重大项目、按需办理。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移民安置规划审核</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涉及移民安置的大中型水利水电项目。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7" w:hRule="atLeast"/>
          <w:jc w:val="center"/>
        </w:trPr>
        <w:tc>
          <w:tcPr>
            <w:tcW w:w="750" w:type="dxa"/>
            <w:vMerge w:val="continue"/>
          </w:tcPr>
          <w:p>
            <w:pPr>
              <w:rPr>
                <w:rFonts w:asciiTheme="minorEastAsia" w:hAnsiTheme="minorEastAsia" w:cstheme="minorEastAsia"/>
                <w:szCs w:val="21"/>
                <w:highlight w:val="none"/>
              </w:rPr>
            </w:pPr>
          </w:p>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中外投资各方的企业注册证明材料及经审计的最新企业财务报表（包括资产负债表、利润表和现金流量表）。投资意向书增资、并购项目的公司董事会决议。以国有资产出资的需提供有关部门出具的确认文件。并购项目申请报告还应包括并购方情况、并购安排、融资方案和被并购方情况、被并购后经营方式、范围和股权结构、所得收入的使用安排等</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bidi="ar"/>
              </w:rPr>
              <w:t>外商投资项目。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9976" w:type="dxa"/>
            <w:gridSpan w:val="6"/>
          </w:tcPr>
          <w:p>
            <w:pPr>
              <w:widowControl/>
              <w:jc w:val="left"/>
              <w:textAlignment w:val="cente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204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项目备案信息登记表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hint="eastAsia" w:asciiTheme="minorEastAsia" w:hAnsiTheme="minorEastAsia" w:eastAsiaTheme="minorEastAsia" w:cstheme="minorEastAsia"/>
                <w:color w:val="000000"/>
                <w:kern w:val="0"/>
                <w:szCs w:val="21"/>
                <w:highlight w:val="none"/>
                <w:lang w:val="en-US" w:eastAsia="zh-CN" w:bidi="ar"/>
              </w:rPr>
            </w:pPr>
            <w:r>
              <w:rPr>
                <w:rFonts w:hint="eastAsia" w:asciiTheme="minorEastAsia" w:hAnsiTheme="minorEastAsia" w:cstheme="minorEastAsia"/>
                <w:color w:val="000000"/>
                <w:kern w:val="0"/>
                <w:szCs w:val="21"/>
                <w:highlight w:val="none"/>
                <w:lang w:bidi="ar"/>
              </w:rPr>
              <w:t>全程网上办理</w:t>
            </w: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9976" w:type="dxa"/>
            <w:gridSpan w:val="6"/>
          </w:tcPr>
          <w:p>
            <w:pPr>
              <w:widowControl/>
              <w:jc w:val="left"/>
              <w:textAlignment w:val="cente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固定资产投资项目节能审查</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固定资产投资项目节能报告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节能报告技术评审意见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项目节能审查申请书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项目单位节能承诺书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976" w:type="dxa"/>
            <w:gridSpan w:val="6"/>
          </w:tcPr>
          <w:p>
            <w:pPr>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2040" w:type="dxa"/>
            <w:vMerge w:val="restart"/>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项目法人出具的申请材料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left"/>
              <w:rPr>
                <w:rFonts w:asciiTheme="minorEastAsia" w:hAnsiTheme="minorEastAsia" w:cstheme="minorEastAsia"/>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招标基本情况表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jc w:val="left"/>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依法可不进行招标的项目的证明材料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申请不进行招标事项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依法进行自行招标的项目证明材料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eastAsia="zh-CN" w:bidi="ar"/>
              </w:rPr>
              <w:t>申请自行招标事项，包含于湛江市工程建设项目审批申请表（立项用地规划许可阶段）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依法进行邀请招标的项目证明材料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申请邀请招标事项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依法进行公开招标的项目证明材料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Align w:val="center"/>
          </w:tcPr>
          <w:p>
            <w:pPr>
              <w:widowControl/>
              <w:jc w:val="left"/>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申请公开招标事项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7</w:t>
            </w:r>
          </w:p>
        </w:tc>
        <w:tc>
          <w:tcPr>
            <w:tcW w:w="204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建设项目选址意见书核发</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《广东省建设项目选址意见申请书》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按投资管理权限由国家或省发展和改革行政主管部门批准、核准的，报省建设厅审批的建设项目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标明项目选址位置的宗地图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使用土地的证明文件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750" w:type="dxa"/>
            <w:vMerge w:val="continue"/>
            <w:vAlign w:val="center"/>
          </w:tcPr>
          <w:p>
            <w:pPr>
              <w:jc w:val="cente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建设项目规划选址论证报告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甲、乙类危险品化工项目或其他有特殊要求及对环境有影响的项目，相应资质的规划设计单位编制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750" w:type="dxa"/>
            <w:vAlign w:val="center"/>
          </w:tcPr>
          <w:p>
            <w:pPr>
              <w:jc w:val="center"/>
              <w:rPr>
                <w:rFonts w:asciiTheme="minorEastAsia" w:hAnsiTheme="minorEastAsia" w:cstheme="minorEastAsia"/>
                <w:szCs w:val="21"/>
                <w:highlight w:val="none"/>
              </w:rPr>
            </w:pPr>
          </w:p>
        </w:tc>
        <w:tc>
          <w:tcPr>
            <w:tcW w:w="9226" w:type="dxa"/>
            <w:gridSpan w:val="5"/>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2040" w:type="dxa"/>
            <w:vMerge w:val="restart"/>
            <w:vAlign w:val="center"/>
          </w:tcPr>
          <w:p>
            <w:pPr>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建设项目用地预审</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建设项目用地预审申请表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建设项目用地预审申请报告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自然资源主管部门初审意见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适用市级权限和省级委托权限用地预审业务审批，需报自然资源部和省自然资源厅审批的，不纳入本适用情形。其中省级权限用地预审（不跨地市）需要提供地方自然资源主管部门初审意见，市级权限不需提供。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项目建设依据（项目建议书批复文件、项目列入相关规划文件或相关产业政策文件）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占用永久基本农田的需提供项目列入相关规划文件和符合相关政策要求的文件。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标注项目用地范围的土地利用总体规划图、土地利用现状图、占用永久基本农田示意图（包含城市周边范围线）及其他相关图件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踏勘论证并出具报告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占用基本农田或耕地规模较大（线性工程占用耕地100公顷以上、块状工程70公以上或项目用地占用地耕地面积达50%以上，不包括水库类项目）的建设项目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建设项目节地评价并出具评审论证意见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国家和地方尚未颁布土地使用标准和建设标准的建设项目，以及确需突破土地使用标准确定规模及功能分区的建设项目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项目用地边界拐点坐标表（2000年国家大地坐标系）</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9</w:t>
            </w:r>
          </w:p>
        </w:tc>
        <w:tc>
          <w:tcPr>
            <w:tcW w:w="204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建设用地（含临时用地）规划许可证核发</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发展和改革行政主管部门对建设项目的批准、核准、备案文件</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标明项目选址位置的宗地图</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土地管理部门核发的建设项目用地预审报告书</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tabs>
                <w:tab w:val="left" w:pos="1063"/>
              </w:tabs>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以划拨方式提供国有土地使用权的建设项目（即需办理选址意见书的建设项目）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环保部门对建设项目的环评文件</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建设项目选址意见书要求提交的专业管理部门意见</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国有土地使用权出让合同</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以出让方式提供国有土地使用权的建设项目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建设项目涉及国家安全、消防、文物保护、航空、通信等部门的，应当提供各相关专业主管部门的书面意见</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提供拟分解核发建设用地规划许可证的方案图</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属于分解核发建设用地规划许可证、变更名称的建设项目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因建设用地单位本身的更名、改制等不涉及改变用地规划条件而申请改名的，应当提交有关主管部门的批准文件或其他有效证明文件</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海域使用权初始审核、审批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项目用海申请报告（包括海域使用申请书、审批呈报表、现场勘查、行政受理材料等内容）</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拟申请用海的宗海图、平面设计图（布置图）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海域使用论证报告、海底电缆管道等桌面路由报告等</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资信证明材料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政府、部队及涉海部门意见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项目可研审批、核准或备案文件、用海预审意见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与利益相关者的协议或解决方案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抵押权人同意变更的证明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公示材料</w:t>
            </w:r>
          </w:p>
        </w:tc>
        <w:tc>
          <w:tcPr>
            <w:tcW w:w="382"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6</w:t>
            </w:r>
          </w:p>
        </w:tc>
        <w:tc>
          <w:tcPr>
            <w:tcW w:w="427"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6</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无居民海岛开发利用审批、审查</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无居民海岛开发利用申请书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6</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无居民海岛使用权出让合同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通过无居民海岛市场化出让方法出让后，省自然资源主管部门向中标人、竞得人征收无居民海岛使用金，并在签订出让合同之日起2年内，编制完成《无居民海岛开发利用具体方案》和《无居民海岛开发利用项目论证报告》，并报县级自然资源主管部门（不设县（市、区）的地级以上市由市级自然资源主管部门）组织有关部门和专家评审后中标人、竞得人向省级自然资源行政主管部门申请用岛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无居民海岛使用金缴纳凭证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经评审并修改完善的《无居民海岛开发利用具体方案》和《无居民海岛开发利用项目论证报告》主管部门申请用岛批复。</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6</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建设工程永久占用林地审核、建设工程临时占用林地审批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使用林地申请表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lang w:val="en-US" w:eastAsia="zh-CN"/>
              </w:rPr>
              <w:t>4</w:t>
            </w:r>
          </w:p>
        </w:tc>
        <w:tc>
          <w:tcPr>
            <w:tcW w:w="2770"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r>
              <w:rPr>
                <w:rFonts w:hint="eastAsia" w:asciiTheme="minorEastAsia" w:hAnsiTheme="minorEastAsia" w:cstheme="minorEastAsia"/>
                <w:szCs w:val="21"/>
                <w:highlight w:val="none"/>
              </w:rPr>
              <w:t>报国家审核的</w:t>
            </w:r>
            <w:r>
              <w:rPr>
                <w:rFonts w:hint="eastAsia" w:asciiTheme="minorEastAsia" w:hAnsiTheme="minorEastAsia" w:cstheme="minorEastAsia"/>
                <w:szCs w:val="21"/>
                <w:highlight w:val="none"/>
                <w:lang w:eastAsia="zh-CN"/>
              </w:rPr>
              <w:t>需</w:t>
            </w:r>
            <w:r>
              <w:rPr>
                <w:rFonts w:hint="eastAsia" w:asciiTheme="minorEastAsia" w:hAnsiTheme="minorEastAsia" w:cstheme="minorEastAsia"/>
                <w:szCs w:val="21"/>
                <w:highlight w:val="none"/>
                <w:lang w:val="en-US" w:eastAsia="zh-CN"/>
              </w:rPr>
              <w:t>5</w:t>
            </w:r>
            <w:r>
              <w:rPr>
                <w:rFonts w:hint="eastAsia" w:asciiTheme="minorEastAsia" w:hAnsiTheme="minorEastAsia" w:cstheme="minorEastAsia"/>
                <w:szCs w:val="21"/>
                <w:highlight w:val="none"/>
              </w:rPr>
              <w:t>份</w:t>
            </w:r>
            <w:r>
              <w:rPr>
                <w:rFonts w:hint="eastAsia" w:asciiTheme="minorEastAsia" w:hAnsi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建设项目有关批准文件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防护林林地或者特殊用途林林地面积10公顷以上，用材林、经济林、薪炭林林地及其采伐迹地面积35公顷以上的，其他林地面积70公顷以上的；使用重点国有林区林地的（原建设项目使用林地审核）项目。主要包括：可行性研究报告批复、核准批复、备案确认文件、勘查许可证、采矿许可证、项目初步设计等批准文件；属于批次用地项目提供经有关人民政府同意的批次用地说明书并附规划图。符合城乡规划的项目还需提供规划许可证或选址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建设项目使用林地可行性报告或林地现状调查表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使用防护林林地或者特殊用途林林地面积10公顷以上，用材林、经济林、薪炭林林地及其采伐迹地面积35公顷以上的，其他林地面积70公顷以上的；使用重点国有林区林地的（原建设项目使用林地审核）项目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初步审查意见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现场查验表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用地单位的资质证明或者个人身份证明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在森林和野生动物类型国家级自然保护区修筑设施的项目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建设项目有关设计变更的批复文件及相关材料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因设计变更等原因需要增加、减少使用林地面积或者改变使用林地位置的项目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县级人民政府确认采石场保留意见材料、采矿权招标挂牌出让成交确认书、开采方案、复绿方案等。</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采石场项目涉及使用林地的项目（粤林[2015]86号）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林地补偿协议</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临时占用林地、涉及使用国有林场等林业企事业单位经营的国有林地项目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原地恢复林业生产条件的方案、协议</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临时占用林地的建设项目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自然保护区、森林公园主管部门或者机构的意见材料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涉及使用自然保护区、森林公园林地的项目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使用省级以上生态公益林林地因子表</w:t>
            </w:r>
          </w:p>
        </w:tc>
        <w:tc>
          <w:tcPr>
            <w:tcW w:w="382"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tcPr>
          <w:p>
            <w:pPr>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涉及使用省级以上生态公益林的项目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国有建设用地供地审核</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拍卖宗地权属情况</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建设项目用地规划条件证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eastAsia="zh-CN" w:bidi="ar"/>
              </w:rPr>
              <w:t>供地</w:t>
            </w:r>
            <w:r>
              <w:rPr>
                <w:rFonts w:hint="eastAsia" w:asciiTheme="minorEastAsia" w:hAnsiTheme="minorEastAsia" w:cstheme="minorEastAsia"/>
                <w:kern w:val="0"/>
                <w:szCs w:val="21"/>
                <w:highlight w:val="none"/>
                <w:lang w:bidi="ar"/>
              </w:rPr>
              <w:t>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政府同意供地的文件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供地红线图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规划蓝线图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国有土地使用证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土地评估报告（含技术报告）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安排留用地文件（划拨用地）</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用地预审批复（划拨用地）</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项目立项批准文件或备案登记表（划拨用地）</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hint="eastAsia"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宗地TXT坐标文件</w:t>
            </w:r>
          </w:p>
        </w:tc>
        <w:tc>
          <w:tcPr>
            <w:tcW w:w="382"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7" w:type="dxa"/>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临时用地审批</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工程建设项目审批（或核准、备案）文件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临时使用土地合同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土地复垦方案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土地权属证明材料（包括地形图和土地利用现状图））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委托人身份证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水利行政主管部门审查意见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临时用地规划许可证或临时用地选址意见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法人代表证明及身份证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临时用地红线图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交通或公路行政主管部门审查意见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委托书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用地单位统一社会信用代码（组织机构代码）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土地复垦保证金缴纳凭证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涉及国家安全事项的建设项目审批</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建设项目投资性质、使用功能、周边地理环境的说明文件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建设项目投资性质、使用功能、周边地理环境的说明文件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报建用地在国家安控区的范围内的项目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建筑红线外半径500米1:2000地形图或1:500总平面图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建设单位营业执照或者组织注册登记证书复印件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vMerge w:val="continue"/>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工程规划设计方案</w:t>
            </w:r>
          </w:p>
        </w:tc>
        <w:tc>
          <w:tcPr>
            <w:tcW w:w="382"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7"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其他需要提交的材料（如《国家安全防范措施整改方案》）</w:t>
            </w:r>
          </w:p>
        </w:tc>
        <w:tc>
          <w:tcPr>
            <w:tcW w:w="382" w:type="dxa"/>
          </w:tcPr>
          <w:p>
            <w:pP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427" w:type="dxa"/>
          </w:tcPr>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w:t>
            </w:r>
          </w:p>
        </w:tc>
        <w:tc>
          <w:tcPr>
            <w:tcW w:w="2770" w:type="dxa"/>
          </w:tcPr>
          <w:p>
            <w:pPr>
              <w:rPr>
                <w:rFonts w:asciiTheme="minorEastAsia" w:hAnsiTheme="minorEastAsia" w:cstheme="minorEastAsia"/>
                <w:szCs w:val="21"/>
                <w:highlight w:val="no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港口（非深水）岸线使用审批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港口岸线使用申请表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海事、航道部门关于建设项目的意见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建设项目工程可行性研究报告或项目申请报告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建设项目环境影响评价文件审批</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建设项目环境影响评价文件报批申请书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建设项目环境影响报告书（表）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关于建设项目环境影响评价文件中删除不宜公开信息的说明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公众参与说明（环境影响报告书项目）</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生产建设项目水土保持方案审批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生产建设项目水土保持方案审批申请</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生产建设项目水土保持方案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洪水影响评价审批</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水工程建设规划同意书申请表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拟报批水工程的（预）可行性研究报告（项目申请报告、备案材料）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与第三者利害关系的相关说明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水工程建设规划同意书论证报告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河道管理范围内建设项目工程建设方案审批申请书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项目建设依据（项目建议书等批复文件、项目列入相关规划文件或相关产业政策文件）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建设项目所涉及河道与防洪部分的初步方案</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占用河道管理范围内土地情况及该建设项目防御洪涝的设防标准与措施</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说明建设项目对河势变化、堤防安全、河道行洪、河水水质的影响以及拟采取的补救措施</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防洪评价报告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非防洪建设项目洪水影响评价报告审批申请表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洪水影响评价报告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建设项目可行性研究报告或初步设计报告（项目申请报告、备案材料）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与第三者达成的协议或有关文件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国家基本水文测站上下游建设影响水文监测工程的审批申请书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建设工程对水文监测影响程度的分析评价报告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项目实施进度计划</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取水许可</w:t>
            </w: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取水许可申请书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与第三者利害关系的相关说明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属备案类的项目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项目备案证明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有利害关系第三者的承诺书或其他文件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建设项目水资源论证报告书（表）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kern w:val="0"/>
                <w:szCs w:val="21"/>
                <w:highlight w:val="none"/>
                <w:lang w:bidi="ar"/>
              </w:rPr>
            </w:pPr>
            <w:r>
              <w:rPr>
                <w:rFonts w:hint="eastAsia" w:asciiTheme="minorEastAsia" w:hAnsiTheme="minorEastAsia" w:cstheme="minorEastAsia"/>
                <w:szCs w:val="21"/>
                <w:highlight w:val="none"/>
              </w:rPr>
              <w:t>初审文件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文物保护单位文物保护工程许可 </w:t>
            </w: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建设单位申请函</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color w:val="000000"/>
                <w:kern w:val="0"/>
                <w:szCs w:val="21"/>
                <w:highlight w:val="none"/>
                <w:lang w:eastAsia="zh-CN" w:bidi="ar"/>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建设工程的规划、设计方案（内容包括：1/500或1/2000现状地形图（标出涉及的文物保护单位），建设工程设计方案还需上报相关建筑的总平面图、平面、立面、剖面图）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在文物保护单位保护范围内建设其他工程，或涉及爆破、钻探、挖掘等作业的建设项目（原文物保护单位保护范围内其他建设工程或爆破、钻探、挖掘等作业审批）。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申请书（包括：建设单位名称及法人登记证明；文物名称；工程名称、地点、规模）</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文物保护单位建设控制地带内的建设项目（原文物保护单位建设控制地带内建设工程设计方案审批）。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文物行政主管部门意见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（一）文物保护单位建设控制地带内的建设项目（原文物保护单位建设控制地带内建设工程设计方案审批）；（二）涉及全国重点文物保护单位或省级文物保护单位建设控制地带的建设工程。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在宗教活动场所内拟改建或者新建的建筑物改变现有布局和功能的审核</w:t>
            </w:r>
          </w:p>
          <w:p>
            <w:pPr>
              <w:rPr>
                <w:rFonts w:asciiTheme="minorEastAsia" w:hAnsiTheme="minorEastAsia" w:cstheme="minorEastAsia"/>
                <w:szCs w:val="21"/>
                <w:highlight w:val="none"/>
              </w:rPr>
            </w:pPr>
          </w:p>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拟改建或者新建建筑物的设计草图、位置图、效果图及可行性报告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有权改建或者新建建筑物的证明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建设资金证明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宗教活动场所管理组织集体研究同意的书面材料</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规划、文物、建设、消防、环保等部门的审核意见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宗教活动场所内改建或新建建筑物申请书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szCs w:val="21"/>
                <w:highlight w:val="none"/>
                <w:lang w:eastAsia="zh-CN"/>
              </w:rPr>
              <w:t>包含于湛江市工程建设项目审批申请表（立项用地规划许可阶段）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保证宗教活动正常开展的情况说明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2040" w:type="dxa"/>
            <w:vMerge w:val="restart"/>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市管权限的地名命名审核、审批</w:t>
            </w: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授权委托证明书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建筑物命名、更名审批表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建设用地规划许可证及红线图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不动产权证书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法人代表证明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经规划部门批准的总平面图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新建项目名称的申请</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tcPr>
          <w:p>
            <w:pPr>
              <w:rPr>
                <w:rFonts w:asciiTheme="minorEastAsia" w:hAnsiTheme="minorEastAsia" w:cstheme="minorEastAsia"/>
                <w:szCs w:val="21"/>
                <w:highlight w:val="none"/>
              </w:rPr>
            </w:pPr>
          </w:p>
        </w:tc>
        <w:tc>
          <w:tcPr>
            <w:tcW w:w="2040" w:type="dxa"/>
            <w:vMerge w:val="continue"/>
          </w:tcPr>
          <w:p>
            <w:pPr>
              <w:rPr>
                <w:rFonts w:asciiTheme="minorEastAsia" w:hAnsiTheme="minorEastAsia" w:cstheme="minorEastAsia"/>
                <w:szCs w:val="21"/>
                <w:highlight w:val="none"/>
              </w:rPr>
            </w:pPr>
          </w:p>
        </w:tc>
        <w:tc>
          <w:tcPr>
            <w:tcW w:w="3607" w:type="dxa"/>
            <w:vAlign w:val="center"/>
          </w:tcPr>
          <w:p>
            <w:pPr>
              <w:widowControl/>
              <w:jc w:val="left"/>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项目属地派出所编订的门牌号码</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widowControl/>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2040" w:type="dxa"/>
            <w:vMerge w:val="restart"/>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招标公告或投标邀请书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发布招标公告的媒介</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招标文件（含资格预审文件、招标答疑、补充文件）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投标单位名单信息表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开标过程记录</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评标评比报告（包含但不限于确定中标人的方式及理由）</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评标委员会的组成信息表</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中标通知书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中标人的投标文件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招标施工合同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6" w:type="dxa"/>
            <w:gridSpan w:val="6"/>
            <w:vAlign w:val="center"/>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restart"/>
            <w:vAlign w:val="center"/>
          </w:tcPr>
          <w:p>
            <w:pPr>
              <w:widowControl/>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2040" w:type="dxa"/>
            <w:vMerge w:val="restart"/>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项目审批文件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含招标核准意见表或备案证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建设资金落实证明文件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建设工程规划许可文件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室内改造、维修类工程除外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用地批准文件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Style w:val="36"/>
                <w:rFonts w:hint="default" w:asciiTheme="minorEastAsia" w:hAnsiTheme="minorEastAsia" w:eastAsiaTheme="minorEastAsia" w:cstheme="minorEastAsia"/>
                <w:b w:val="0"/>
                <w:color w:val="auto"/>
                <w:sz w:val="21"/>
                <w:szCs w:val="21"/>
                <w:highlight w:val="none"/>
                <w:lang w:bidi="ar"/>
              </w:rPr>
              <w:t>使用原有土地的市政道路和管线类工程除外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设计施工图</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招标控制价</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rPr>
                <w:rFonts w:asciiTheme="minorEastAsia" w:hAnsiTheme="minorEastAsia" w:cstheme="minorEastAsia"/>
                <w:szCs w:val="21"/>
                <w:highlight w:val="none"/>
              </w:rPr>
            </w:pPr>
            <w:r>
              <w:rPr>
                <w:rFonts w:hint="eastAsia" w:asciiTheme="minorEastAsia" w:hAnsiTheme="minorEastAsia" w:cstheme="minorEastAsia"/>
                <w:szCs w:val="21"/>
                <w:highlight w:val="none"/>
              </w:rPr>
              <w:t>工程预算评审报告</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预算成果应在招标公告发布前两个月内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工程量清单</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招标代理合同书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招标代理机构营业执照</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招标代理机构法定代表人委托书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被委托人身份证及其劳动合同</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招标代理机构拟派3-5名开标员身份证及其近1个月社保缴纳证明</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招标公告原件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邀请招标不需此项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招标文件</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在封面及骑缝处同时加盖招标人、招标代理机构公章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Merge w:val="continue"/>
            <w:vAlign w:val="center"/>
          </w:tcPr>
          <w:p>
            <w:pPr>
              <w:widowControl/>
              <w:jc w:val="center"/>
              <w:textAlignment w:val="center"/>
              <w:rPr>
                <w:rFonts w:asciiTheme="minorEastAsia" w:hAnsiTheme="minorEastAsia" w:cstheme="minorEastAsia"/>
                <w:szCs w:val="21"/>
                <w:highlight w:val="none"/>
              </w:rPr>
            </w:pPr>
          </w:p>
        </w:tc>
        <w:tc>
          <w:tcPr>
            <w:tcW w:w="2040" w:type="dxa"/>
            <w:vMerge w:val="continue"/>
            <w:vAlign w:val="center"/>
          </w:tcPr>
          <w:p>
            <w:pPr>
              <w:widowControl/>
              <w:jc w:val="left"/>
              <w:textAlignment w:val="center"/>
              <w:rPr>
                <w:rFonts w:asciiTheme="minorEastAsia" w:hAnsiTheme="minorEastAsia" w:cstheme="minorEastAsia"/>
                <w:kern w:val="0"/>
                <w:szCs w:val="21"/>
                <w:highlight w:val="none"/>
                <w:lang w:bidi="ar"/>
              </w:rPr>
            </w:pPr>
          </w:p>
        </w:tc>
        <w:tc>
          <w:tcPr>
            <w:tcW w:w="3607" w:type="dxa"/>
            <w:vAlign w:val="center"/>
          </w:tcPr>
          <w:p>
            <w:pPr>
              <w:widowControl/>
              <w:jc w:val="left"/>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项目审批文件要求开展勘察、设计招标的，须提供勘察、设计中标通知书</w:t>
            </w:r>
          </w:p>
        </w:tc>
        <w:tc>
          <w:tcPr>
            <w:tcW w:w="382"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427" w:type="dxa"/>
            <w:vAlign w:val="center"/>
          </w:tcPr>
          <w:p>
            <w:pP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2770" w:type="dxa"/>
          </w:tcPr>
          <w:p>
            <w:pPr>
              <w:rPr>
                <w:rFonts w:asciiTheme="minorEastAsia" w:hAnsiTheme="minorEastAsia" w:cstheme="minorEastAsia"/>
                <w:szCs w:val="21"/>
                <w:highlight w:val="none"/>
              </w:rPr>
            </w:pPr>
          </w:p>
        </w:tc>
      </w:tr>
    </w:tbl>
    <w:p>
      <w:pPr>
        <w:spacing w:line="500" w:lineRule="exact"/>
        <w:jc w:val="left"/>
        <w:rPr>
          <w:rFonts w:ascii="黑体" w:hAnsi="黑体" w:eastAsia="黑体" w:cs="黑体"/>
          <w:sz w:val="24"/>
          <w:szCs w:val="24"/>
          <w:highlight w:val="none"/>
        </w:rPr>
      </w:pPr>
      <w:r>
        <w:rPr>
          <w:rFonts w:hint="eastAsia" w:ascii="黑体" w:hAnsi="黑体" w:eastAsia="黑体" w:cs="黑体"/>
          <w:sz w:val="24"/>
          <w:szCs w:val="24"/>
          <w:highlight w:val="none"/>
        </w:rPr>
        <w:t>2.通用材料目录</w:t>
      </w:r>
    </w:p>
    <w:tbl>
      <w:tblPr>
        <w:tblStyle w:val="14"/>
        <w:tblW w:w="9968" w:type="dxa"/>
        <w:tblInd w:w="-7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4514"/>
        <w:gridCol w:w="47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9" w:hRule="atLeast"/>
        </w:trPr>
        <w:tc>
          <w:tcPr>
            <w:tcW w:w="750"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序号</w:t>
            </w:r>
          </w:p>
        </w:tc>
        <w:tc>
          <w:tcPr>
            <w:tcW w:w="4514"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通用材料名称</w:t>
            </w:r>
          </w:p>
        </w:tc>
        <w:tc>
          <w:tcPr>
            <w:tcW w:w="4704" w:type="dxa"/>
            <w:vAlign w:val="center"/>
          </w:tcPr>
          <w:p>
            <w:pPr>
              <w:spacing w:line="500" w:lineRule="exact"/>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9" w:hRule="atLeast"/>
        </w:trPr>
        <w:tc>
          <w:tcPr>
            <w:tcW w:w="750" w:type="dxa"/>
            <w:vAlign w:val="center"/>
          </w:tcPr>
          <w:p>
            <w:pPr>
              <w:spacing w:line="360" w:lineRule="exact"/>
              <w:jc w:val="center"/>
              <w:rPr>
                <w:rFonts w:hint="eastAsia" w:cs="黑体" w:asciiTheme="minorEastAsia" w:hAnsiTheme="minorEastAsia"/>
                <w:sz w:val="24"/>
                <w:szCs w:val="24"/>
                <w:highlight w:val="none"/>
              </w:rPr>
            </w:pPr>
            <w:r>
              <w:rPr>
                <w:rFonts w:hint="eastAsia" w:asciiTheme="minorEastAsia" w:hAnsiTheme="minorEastAsia"/>
                <w:szCs w:val="21"/>
                <w:highlight w:val="none"/>
              </w:rPr>
              <w:t>1</w:t>
            </w:r>
          </w:p>
        </w:tc>
        <w:tc>
          <w:tcPr>
            <w:tcW w:w="4514" w:type="dxa"/>
            <w:vAlign w:val="center"/>
          </w:tcPr>
          <w:p>
            <w:pPr>
              <w:spacing w:line="360" w:lineRule="exact"/>
              <w:jc w:val="center"/>
              <w:rPr>
                <w:rFonts w:hint="eastAsia" w:asciiTheme="minorEastAsia" w:hAnsiTheme="minorEastAsia"/>
                <w:szCs w:val="21"/>
                <w:highlight w:val="none"/>
                <w:lang w:eastAsia="zh-CN"/>
              </w:rPr>
            </w:pPr>
            <w:r>
              <w:rPr>
                <w:rFonts w:hint="eastAsia" w:asciiTheme="minorEastAsia" w:hAnsiTheme="minorEastAsia"/>
                <w:szCs w:val="21"/>
                <w:highlight w:val="none"/>
                <w:lang w:eastAsia="zh-CN"/>
              </w:rPr>
              <w:t>湛江市工程建设项目审批申请表</w:t>
            </w:r>
          </w:p>
          <w:p>
            <w:pPr>
              <w:spacing w:line="360" w:lineRule="exact"/>
              <w:jc w:val="center"/>
              <w:rPr>
                <w:rFonts w:hint="eastAsia" w:cs="黑体" w:asciiTheme="minorEastAsia" w:hAnsiTheme="minorEastAsia"/>
                <w:sz w:val="24"/>
                <w:szCs w:val="24"/>
                <w:highlight w:val="none"/>
              </w:rPr>
            </w:pPr>
            <w:r>
              <w:rPr>
                <w:rFonts w:hint="eastAsia" w:asciiTheme="minorEastAsia" w:hAnsiTheme="minorEastAsia"/>
                <w:szCs w:val="21"/>
                <w:highlight w:val="none"/>
                <w:lang w:eastAsia="zh-CN"/>
              </w:rPr>
              <w:t>（立项用地规划许可阶段）</w:t>
            </w:r>
          </w:p>
        </w:tc>
        <w:tc>
          <w:tcPr>
            <w:tcW w:w="4704" w:type="dxa"/>
            <w:vAlign w:val="center"/>
          </w:tcPr>
          <w:p>
            <w:pPr>
              <w:spacing w:line="500" w:lineRule="exact"/>
              <w:jc w:val="center"/>
              <w:rPr>
                <w:rFonts w:hint="eastAsia" w:cs="黑体" w:asciiTheme="minorEastAsia" w:hAnsiTheme="minorEastAsia"/>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2</w:t>
            </w:r>
          </w:p>
        </w:tc>
        <w:tc>
          <w:tcPr>
            <w:tcW w:w="4514"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建设单位工商营业执照</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3</w:t>
            </w:r>
          </w:p>
        </w:tc>
        <w:tc>
          <w:tcPr>
            <w:tcW w:w="4514" w:type="dxa"/>
            <w:vAlign w:val="center"/>
          </w:tcPr>
          <w:p>
            <w:pPr>
              <w:spacing w:line="360" w:lineRule="exact"/>
              <w:jc w:val="center"/>
              <w:rPr>
                <w:rFonts w:asciiTheme="minorEastAsia" w:hAnsiTheme="minorEastAsia"/>
                <w:szCs w:val="21"/>
                <w:highlight w:val="none"/>
              </w:rPr>
            </w:pPr>
            <w:r>
              <w:rPr>
                <w:rFonts w:cs="Times New Roman" w:asciiTheme="minorEastAsia" w:hAnsiTheme="minorEastAsia"/>
                <w:szCs w:val="21"/>
                <w:highlight w:val="none"/>
              </w:rPr>
              <w:t>设计单位资质证</w:t>
            </w:r>
            <w:r>
              <w:rPr>
                <w:rFonts w:hint="eastAsia" w:cs="Times New Roman" w:asciiTheme="minorEastAsia" w:hAnsiTheme="minorEastAsia"/>
                <w:szCs w:val="21"/>
                <w:highlight w:val="none"/>
              </w:rPr>
              <w:t>书</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4</w:t>
            </w:r>
          </w:p>
        </w:tc>
        <w:tc>
          <w:tcPr>
            <w:tcW w:w="4514"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授权委托书</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lang w:val="en-US" w:eastAsia="zh-CN"/>
              </w:rPr>
              <w:t>5</w:t>
            </w:r>
          </w:p>
        </w:tc>
        <w:tc>
          <w:tcPr>
            <w:tcW w:w="4514" w:type="dxa"/>
            <w:vAlign w:val="center"/>
          </w:tcPr>
          <w:p>
            <w:pPr>
              <w:spacing w:line="360" w:lineRule="exact"/>
              <w:jc w:val="center"/>
              <w:rPr>
                <w:rFonts w:asciiTheme="minorEastAsia" w:hAnsiTheme="minorEastAsia"/>
                <w:szCs w:val="21"/>
                <w:highlight w:val="none"/>
              </w:rPr>
            </w:pPr>
            <w:r>
              <w:rPr>
                <w:rFonts w:hint="eastAsia" w:asciiTheme="minorEastAsia" w:hAnsiTheme="minorEastAsia"/>
                <w:szCs w:val="21"/>
                <w:highlight w:val="none"/>
              </w:rPr>
              <w:t>业务办理人员的</w:t>
            </w:r>
            <w:r>
              <w:rPr>
                <w:rFonts w:asciiTheme="minorEastAsia" w:hAnsiTheme="minorEastAsia"/>
                <w:szCs w:val="21"/>
                <w:highlight w:val="none"/>
              </w:rPr>
              <w:t>身份证明</w:t>
            </w:r>
          </w:p>
        </w:tc>
        <w:tc>
          <w:tcPr>
            <w:tcW w:w="4704" w:type="dxa"/>
            <w:vAlign w:val="center"/>
          </w:tcPr>
          <w:p>
            <w:pPr>
              <w:spacing w:line="360" w:lineRule="exact"/>
              <w:jc w:val="center"/>
              <w:rPr>
                <w:rFonts w:asciiTheme="minorEastAsia" w:hAnsi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8" w:hRule="atLeast"/>
        </w:trPr>
        <w:tc>
          <w:tcPr>
            <w:tcW w:w="750" w:type="dxa"/>
            <w:vAlign w:val="center"/>
          </w:tcPr>
          <w:p>
            <w:pPr>
              <w:spacing w:line="3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6</w:t>
            </w:r>
          </w:p>
        </w:tc>
        <w:tc>
          <w:tcPr>
            <w:tcW w:w="4514" w:type="dxa"/>
            <w:vAlign w:val="center"/>
          </w:tcPr>
          <w:p>
            <w:pPr>
              <w:spacing w:line="360" w:lineRule="exact"/>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eastAsia="zh-CN"/>
              </w:rPr>
              <w:t>法人代表身份证</w:t>
            </w:r>
          </w:p>
        </w:tc>
        <w:tc>
          <w:tcPr>
            <w:tcW w:w="4704" w:type="dxa"/>
            <w:vAlign w:val="center"/>
          </w:tcPr>
          <w:p>
            <w:pPr>
              <w:spacing w:line="360" w:lineRule="exact"/>
              <w:jc w:val="center"/>
              <w:rPr>
                <w:rFonts w:asciiTheme="minorEastAsia" w:hAnsiTheme="minorEastAsia"/>
                <w:szCs w:val="21"/>
                <w:highlight w:val="none"/>
              </w:rPr>
            </w:pPr>
          </w:p>
        </w:tc>
      </w:tr>
    </w:tbl>
    <w:p>
      <w:pPr>
        <w:spacing w:line="500" w:lineRule="exact"/>
        <w:ind w:firstLine="840" w:firstLineChars="300"/>
        <w:jc w:val="left"/>
        <w:rPr>
          <w:rFonts w:ascii="黑体" w:hAnsi="黑体" w:eastAsia="黑体" w:cs="黑体"/>
          <w:sz w:val="28"/>
          <w:szCs w:val="28"/>
          <w:highlight w:val="none"/>
        </w:rPr>
      </w:pPr>
      <w:r>
        <w:rPr>
          <w:rFonts w:hint="eastAsia" w:ascii="黑体" w:hAnsi="黑体" w:eastAsia="黑体" w:cs="黑体"/>
          <w:sz w:val="28"/>
          <w:szCs w:val="28"/>
          <w:highlight w:val="none"/>
        </w:rPr>
        <w:t>四、办事结果</w:t>
      </w:r>
    </w:p>
    <w:tbl>
      <w:tblPr>
        <w:tblStyle w:val="20"/>
        <w:tblpPr w:vertAnchor="text" w:horzAnchor="page" w:tblpX="911" w:tblpY="-22"/>
        <w:tblOverlap w:val="never"/>
        <w:tblW w:w="9978" w:type="dxa"/>
        <w:tblInd w:w="0" w:type="dxa"/>
        <w:tblLayout w:type="fixed"/>
        <w:tblCellMar>
          <w:top w:w="0" w:type="dxa"/>
          <w:left w:w="0" w:type="dxa"/>
          <w:bottom w:w="0" w:type="dxa"/>
          <w:right w:w="0" w:type="dxa"/>
        </w:tblCellMar>
      </w:tblPr>
      <w:tblGrid>
        <w:gridCol w:w="592"/>
        <w:gridCol w:w="5582"/>
        <w:gridCol w:w="3804"/>
      </w:tblGrid>
      <w:tr>
        <w:tblPrEx>
          <w:tblLayout w:type="fixed"/>
          <w:tblCellMar>
            <w:top w:w="0" w:type="dxa"/>
            <w:left w:w="0" w:type="dxa"/>
            <w:bottom w:w="0" w:type="dxa"/>
            <w:right w:w="0" w:type="dxa"/>
          </w:tblCellMar>
        </w:tblPrEx>
        <w:trPr>
          <w:trHeight w:val="332" w:hRule="atLeast"/>
        </w:trPr>
        <w:tc>
          <w:tcPr>
            <w:tcW w:w="592"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10" w:hanging="10"/>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5582"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3"/>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申办事项名称</w:t>
            </w:r>
          </w:p>
        </w:tc>
        <w:tc>
          <w:tcPr>
            <w:tcW w:w="3804" w:type="dxa"/>
            <w:tcBorders>
              <w:top w:val="single" w:color="000000" w:sz="4" w:space="0"/>
              <w:left w:val="single" w:color="000000" w:sz="4" w:space="0"/>
              <w:bottom w:val="single" w:color="000000" w:sz="8" w:space="0"/>
              <w:right w:val="single" w:color="000000" w:sz="4" w:space="0"/>
            </w:tcBorders>
            <w:vAlign w:val="center"/>
          </w:tcPr>
          <w:p>
            <w:pPr>
              <w:spacing w:line="259" w:lineRule="auto"/>
              <w:ind w:right="12"/>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办事结果</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政府投资项目审批（项目建议书）</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项目建议书批复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政府投资项目审批（可行性研究报告）</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可行性研究报告批复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企业投资项目核准</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项目核准批复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企业投资项目备案</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广东省企业投资项目备案证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固定资产投资项目节能审查</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项目节能审查意见</w:t>
            </w:r>
          </w:p>
        </w:tc>
      </w:tr>
      <w:tr>
        <w:tblPrEx>
          <w:tblLayout w:type="fixed"/>
          <w:tblCellMar>
            <w:top w:w="0" w:type="dxa"/>
            <w:left w:w="0" w:type="dxa"/>
            <w:bottom w:w="0" w:type="dxa"/>
            <w:right w:w="0" w:type="dxa"/>
          </w:tblCellMar>
        </w:tblPrEx>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需要履行项目审批、核准手续的依法必须招标的基建工程、特许经营项目招标方式和招标范围的核准（申请不招标事项）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需要履行项目审批、核准手续的依法必须招标的基建工程、特许经营项目招标方式和招标范围的核准（申请自行招标事项）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需要履行项目审批、核准手续的依法必须招标的基建工程、特许经营项目招标方式和招标范围的核准（申请邀请招标事项）</w:t>
            </w:r>
          </w:p>
          <w:p>
            <w:pPr>
              <w:widowControl/>
              <w:spacing w:line="264" w:lineRule="auto"/>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需要履行项目审批、核准手续的依法必须招标的基建工程、特许经营项目招标方式和招标范围的核准（申请公开招标事项）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szCs w:val="21"/>
                <w:highlight w:val="none"/>
                <w:shd w:val="clear" w:color="auto" w:fill="FFFFFF"/>
              </w:rPr>
            </w:pPr>
            <w:r>
              <w:rPr>
                <w:rFonts w:hint="eastAsia" w:asciiTheme="minorEastAsia" w:hAnsiTheme="minorEastAsia" w:cstheme="minorEastAsia"/>
                <w:color w:val="000000"/>
                <w:szCs w:val="21"/>
                <w:highlight w:val="none"/>
                <w:shd w:val="clear" w:color="auto" w:fill="FFFFFF"/>
              </w:rPr>
              <w:t>《工程招标核准意见表》或</w:t>
            </w:r>
          </w:p>
          <w:p>
            <w:pPr>
              <w:widowControl/>
              <w:ind w:left="10" w:hanging="10"/>
              <w:jc w:val="center"/>
              <w:textAlignment w:val="center"/>
              <w:rPr>
                <w:rFonts w:asciiTheme="minorEastAsia" w:hAnsiTheme="minorEastAsia" w:cstheme="minorEastAsia"/>
                <w:color w:val="16365C"/>
                <w:kern w:val="0"/>
                <w:szCs w:val="21"/>
                <w:highlight w:val="none"/>
                <w:lang w:bidi="ar"/>
              </w:rPr>
            </w:pPr>
            <w:r>
              <w:rPr>
                <w:rFonts w:hint="eastAsia" w:asciiTheme="minorEastAsia" w:hAnsiTheme="minorEastAsia" w:cstheme="minorEastAsia"/>
                <w:color w:val="000000"/>
                <w:szCs w:val="21"/>
                <w:highlight w:val="none"/>
                <w:shd w:val="clear" w:color="auto" w:fill="FFFFFF"/>
              </w:rPr>
              <w:t>同意自行招标文件</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建设项目选址意见书核发</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建设项目选址意见书</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建设项目用地预审</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建设项目用地预审意见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建设用地（含临时用地）规划许可证核发</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kern w:val="0"/>
                <w:szCs w:val="21"/>
                <w:highlight w:val="none"/>
                <w:lang w:bidi="ar"/>
              </w:rPr>
              <w:t>建设用地规划许可证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10</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海域使用权初始审核、审批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color w:val="000000"/>
                <w:kern w:val="0"/>
                <w:szCs w:val="21"/>
                <w:highlight w:val="none"/>
                <w:lang w:bidi="ar"/>
              </w:rPr>
              <w:t>使用海域批复</w:t>
            </w:r>
          </w:p>
        </w:tc>
      </w:tr>
      <w:tr>
        <w:tblPrEx>
          <w:tblLayout w:type="fixed"/>
          <w:tblCellMar>
            <w:top w:w="0" w:type="dxa"/>
            <w:left w:w="0" w:type="dxa"/>
            <w:bottom w:w="0" w:type="dxa"/>
            <w:right w:w="0" w:type="dxa"/>
          </w:tblCellMar>
        </w:tblPrEx>
        <w:trPr>
          <w:trHeight w:val="396"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11</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无居民海岛开发利用审批、审查</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开发海岛使用审查意见</w:t>
            </w:r>
          </w:p>
        </w:tc>
      </w:tr>
      <w:tr>
        <w:tblPrEx>
          <w:tblLayout w:type="fixed"/>
          <w:tblCellMar>
            <w:top w:w="0" w:type="dxa"/>
            <w:left w:w="0" w:type="dxa"/>
            <w:bottom w:w="0" w:type="dxa"/>
            <w:right w:w="0" w:type="dxa"/>
          </w:tblCellMar>
        </w:tblPrEx>
        <w:trPr>
          <w:trHeight w:val="1202"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12</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Style w:val="28"/>
                <w:rFonts w:hint="default" w:asciiTheme="minorEastAsia" w:hAnsiTheme="minorEastAsia" w:eastAsiaTheme="minorEastAsia" w:cstheme="minorEastAsia"/>
                <w:b w:val="0"/>
                <w:bCs/>
                <w:color w:val="auto"/>
                <w:sz w:val="21"/>
                <w:szCs w:val="21"/>
                <w:highlight w:val="none"/>
                <w:lang w:bidi="ar"/>
              </w:rPr>
              <w:t>建设工程使用林地审核、审批：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森林经营单位在所经营的林地范围内修筑直接为林业生产服务的工程设施占用林地审批；</w:t>
            </w:r>
            <w:r>
              <w:rPr>
                <w:rStyle w:val="30"/>
                <w:rFonts w:hint="default" w:asciiTheme="minorEastAsia" w:hAnsiTheme="minorEastAsia" w:eastAsiaTheme="minorEastAsia" w:cstheme="minorEastAsia"/>
                <w:color w:val="auto"/>
                <w:sz w:val="21"/>
                <w:szCs w:val="21"/>
                <w:highlight w:val="none"/>
                <w:lang w:bidi="ar"/>
              </w:rPr>
              <w:br w:type="textWrapping"/>
            </w:r>
            <w:r>
              <w:rPr>
                <w:rStyle w:val="30"/>
                <w:rFonts w:hint="default" w:asciiTheme="minorEastAsia" w:hAnsiTheme="minorEastAsia" w:eastAsiaTheme="minorEastAsia" w:cstheme="minorEastAsia"/>
                <w:color w:val="auto"/>
                <w:sz w:val="21"/>
                <w:szCs w:val="21"/>
                <w:highlight w:val="none"/>
                <w:lang w:bidi="ar"/>
              </w:rPr>
              <w:t>建设工程临时占用林地审批；建设工程永久占用林地审核。</w:t>
            </w:r>
            <w:r>
              <w:rPr>
                <w:rStyle w:val="30"/>
                <w:rFonts w:hint="default" w:asciiTheme="minorEastAsia" w:hAnsiTheme="minorEastAsia" w:eastAsiaTheme="minorEastAsia" w:cstheme="minorEastAsia"/>
                <w:color w:val="auto"/>
                <w:sz w:val="21"/>
                <w:szCs w:val="21"/>
                <w:highlight w:val="none"/>
                <w:lang w:bidi="ar"/>
              </w:rPr>
              <w:br w:type="textWrapping"/>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使用林地审批同意书</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13</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国有建设用地供地审核</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FF0000"/>
                <w:kern w:val="0"/>
                <w:szCs w:val="21"/>
                <w:highlight w:val="none"/>
                <w:lang w:bidi="ar"/>
              </w:rPr>
            </w:pPr>
            <w:r>
              <w:rPr>
                <w:rFonts w:hint="eastAsia" w:asciiTheme="minorEastAsia" w:hAnsiTheme="minorEastAsia" w:cstheme="minorEastAsia"/>
                <w:kern w:val="0"/>
                <w:szCs w:val="21"/>
                <w:highlight w:val="none"/>
                <w:lang w:bidi="ar"/>
              </w:rPr>
              <w:t>国有建设用地使用权出让工作的通知</w:t>
            </w:r>
          </w:p>
        </w:tc>
      </w:tr>
      <w:tr>
        <w:tblPrEx>
          <w:tblLayout w:type="fixed"/>
          <w:tblCellMar>
            <w:top w:w="0" w:type="dxa"/>
            <w:left w:w="0" w:type="dxa"/>
            <w:bottom w:w="0" w:type="dxa"/>
            <w:right w:w="0" w:type="dxa"/>
          </w:tblCellMar>
        </w:tblPrEx>
        <w:trPr>
          <w:trHeight w:val="353"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14</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临时用地审批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临时用地批复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5</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涉及国家安全事项的建设项目审批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涉及国家安全事项</w:t>
            </w:r>
            <w:r>
              <w:rPr>
                <w:rFonts w:hint="eastAsia" w:asciiTheme="minorEastAsia" w:hAnsiTheme="minorEastAsia" w:cstheme="minorEastAsia"/>
                <w:color w:val="000000"/>
                <w:kern w:val="0"/>
                <w:szCs w:val="21"/>
                <w:highlight w:val="none"/>
                <w:lang w:eastAsia="zh-CN" w:bidi="ar"/>
              </w:rPr>
              <w:t>的</w:t>
            </w:r>
            <w:r>
              <w:rPr>
                <w:rFonts w:hint="eastAsia" w:asciiTheme="minorEastAsia" w:hAnsiTheme="minorEastAsia" w:cstheme="minorEastAsia"/>
                <w:color w:val="000000"/>
                <w:kern w:val="0"/>
                <w:szCs w:val="21"/>
                <w:highlight w:val="none"/>
                <w:lang w:bidi="ar"/>
              </w:rPr>
              <w:t>建设项目许可证</w:t>
            </w:r>
          </w:p>
        </w:tc>
      </w:tr>
      <w:tr>
        <w:tblPrEx>
          <w:tblLayout w:type="fixed"/>
          <w:tblCellMar>
            <w:top w:w="0" w:type="dxa"/>
            <w:left w:w="0" w:type="dxa"/>
            <w:bottom w:w="0" w:type="dxa"/>
            <w:right w:w="0" w:type="dxa"/>
          </w:tblCellMar>
        </w:tblPrEx>
        <w:trPr>
          <w:trHeight w:val="565"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6</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Style w:val="31"/>
                <w:rFonts w:hint="default" w:asciiTheme="minorEastAsia" w:hAnsiTheme="minorEastAsia" w:eastAsiaTheme="minorEastAsia" w:cstheme="minorEastAsia"/>
                <w:color w:val="auto"/>
                <w:sz w:val="21"/>
                <w:szCs w:val="21"/>
                <w:highlight w:val="none"/>
                <w:lang w:bidi="ar"/>
              </w:rPr>
              <w:t>港口岸线使用审批</w:t>
            </w:r>
            <w:r>
              <w:rPr>
                <w:rStyle w:val="29"/>
                <w:rFonts w:hint="default" w:asciiTheme="minorEastAsia" w:hAnsiTheme="minorEastAsia" w:eastAsiaTheme="minorEastAsia" w:cstheme="minorEastAsia"/>
                <w:color w:val="auto"/>
                <w:sz w:val="21"/>
                <w:szCs w:val="21"/>
                <w:highlight w:val="none"/>
                <w:lang w:bidi="ar"/>
              </w:rPr>
              <w:br w:type="textWrapping"/>
            </w:r>
            <w:r>
              <w:rPr>
                <w:rStyle w:val="29"/>
                <w:rFonts w:hint="default" w:asciiTheme="minorEastAsia" w:hAnsiTheme="minorEastAsia" w:eastAsiaTheme="minorEastAsia" w:cstheme="minorEastAsia"/>
                <w:color w:val="auto"/>
                <w:sz w:val="21"/>
                <w:szCs w:val="21"/>
                <w:highlight w:val="none"/>
                <w:lang w:bidi="ar"/>
              </w:rPr>
              <w:t>（港口非深水岸线使用审批）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港口岸线使用申请书批复</w:t>
            </w:r>
          </w:p>
        </w:tc>
      </w:tr>
      <w:tr>
        <w:tblPrEx>
          <w:tblLayout w:type="fixed"/>
          <w:tblCellMar>
            <w:top w:w="0" w:type="dxa"/>
            <w:left w:w="0" w:type="dxa"/>
            <w:bottom w:w="0" w:type="dxa"/>
            <w:right w:w="0" w:type="dxa"/>
          </w:tblCellMar>
        </w:tblPrEx>
        <w:trPr>
          <w:trHeight w:val="335"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7</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建设项目环境影响评价文件审批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highlight w:val="none"/>
              </w:rPr>
              <w:fldChar w:fldCharType="begin"/>
            </w:r>
            <w:r>
              <w:rPr>
                <w:highlight w:val="none"/>
              </w:rPr>
              <w:instrText xml:space="preserve"> HYPERLINK "http://www.gdzwfw.gov.cn/portal/guide/javascript:void(0);" </w:instrText>
            </w:r>
            <w:r>
              <w:rPr>
                <w:highlight w:val="none"/>
              </w:rPr>
              <w:fldChar w:fldCharType="separate"/>
            </w:r>
            <w:r>
              <w:rPr>
                <w:rFonts w:hint="eastAsia" w:asciiTheme="minorEastAsia" w:hAnsiTheme="minorEastAsia" w:cstheme="minorEastAsia"/>
                <w:szCs w:val="21"/>
                <w:highlight w:val="none"/>
              </w:rPr>
              <w:t>环境影响报告书批复</w:t>
            </w:r>
            <w:r>
              <w:rPr>
                <w:rFonts w:hint="eastAsia" w:asciiTheme="minorEastAsia" w:hAnsiTheme="minorEastAsia" w:cstheme="minorEastAsia"/>
                <w:szCs w:val="21"/>
                <w:highlight w:val="none"/>
              </w:rPr>
              <w:fldChar w:fldCharType="end"/>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8</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生产建设项目水土保持方案审批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水土保持方案批复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19</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洪水影响评价审批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color w:val="000000"/>
                <w:szCs w:val="21"/>
                <w:highlight w:val="none"/>
                <w:shd w:val="clear" w:color="auto" w:fill="FFFFFF"/>
              </w:rPr>
              <w:t>洪水影响评价批复</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0</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取水许可</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取水许可证</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1</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文物保护单位文物保护工程许可</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工程勘察设计方案的批复</w:t>
            </w:r>
          </w:p>
        </w:tc>
      </w:tr>
      <w:tr>
        <w:tblPrEx>
          <w:tblLayout w:type="fixed"/>
          <w:tblCellMar>
            <w:top w:w="0" w:type="dxa"/>
            <w:left w:w="0" w:type="dxa"/>
            <w:bottom w:w="0" w:type="dxa"/>
            <w:right w:w="0" w:type="dxa"/>
          </w:tblCellMar>
        </w:tblPrEx>
        <w:trPr>
          <w:trHeight w:val="613"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2</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在宗教活动场所内拟改建或者新建的建筑物改变现有布局和功能的审核</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市属宗教活动场所内改建或新建建筑物审批事项的批复文书</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3</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kern w:val="0"/>
                <w:szCs w:val="21"/>
                <w:highlight w:val="none"/>
                <w:lang w:bidi="ar"/>
              </w:rPr>
            </w:pPr>
            <w:r>
              <w:rPr>
                <w:rFonts w:hint="eastAsia" w:asciiTheme="minorEastAsia" w:hAnsiTheme="minorEastAsia" w:cstheme="minorEastAsia"/>
                <w:color w:val="000000"/>
                <w:kern w:val="0"/>
                <w:szCs w:val="21"/>
                <w:highlight w:val="none"/>
                <w:lang w:bidi="ar"/>
              </w:rPr>
              <w:t>市管权限的地名命名审核、审批</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命名通知</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4</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bCs/>
                <w:color w:val="000000"/>
                <w:kern w:val="0"/>
                <w:szCs w:val="21"/>
                <w:highlight w:val="none"/>
                <w:lang w:bidi="ar"/>
              </w:rPr>
            </w:pPr>
            <w:r>
              <w:rPr>
                <w:rFonts w:hint="eastAsia" w:asciiTheme="minorEastAsia" w:hAnsiTheme="minorEastAsia" w:cstheme="minorEastAsia"/>
                <w:kern w:val="0"/>
                <w:szCs w:val="21"/>
                <w:highlight w:val="none"/>
                <w:lang w:bidi="ar"/>
              </w:rPr>
              <w:t>房屋建筑和市政基础设施工程招标投标情况报告备案</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w:t>
            </w:r>
          </w:p>
        </w:tc>
      </w:tr>
      <w:tr>
        <w:tblPrEx>
          <w:tblLayout w:type="fixed"/>
          <w:tblCellMar>
            <w:top w:w="0" w:type="dxa"/>
            <w:left w:w="0" w:type="dxa"/>
            <w:bottom w:w="0" w:type="dxa"/>
            <w:right w:w="0" w:type="dxa"/>
          </w:tblCellMar>
        </w:tblPrEx>
        <w:trPr>
          <w:trHeight w:val="340" w:hRule="exact"/>
        </w:trPr>
        <w:tc>
          <w:tcPr>
            <w:tcW w:w="592" w:type="dxa"/>
            <w:tcBorders>
              <w:top w:val="single" w:color="auto" w:sz="4" w:space="0"/>
              <w:left w:val="single" w:color="auto" w:sz="4" w:space="0"/>
              <w:bottom w:val="single" w:color="auto" w:sz="4" w:space="0"/>
              <w:right w:val="single" w:color="auto" w:sz="4" w:space="0"/>
            </w:tcBorders>
            <w:vAlign w:val="center"/>
          </w:tcPr>
          <w:p>
            <w:pPr>
              <w:spacing w:line="259" w:lineRule="auto"/>
              <w:ind w:right="18"/>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2</w:t>
            </w:r>
            <w:r>
              <w:rPr>
                <w:rFonts w:hint="eastAsia" w:asciiTheme="minorEastAsia" w:hAnsiTheme="minorEastAsia" w:cstheme="minorEastAsia"/>
                <w:szCs w:val="21"/>
                <w:highlight w:val="none"/>
                <w:lang w:val="en-US" w:eastAsia="zh-CN"/>
              </w:rPr>
              <w:t>5</w:t>
            </w:r>
          </w:p>
        </w:tc>
        <w:tc>
          <w:tcPr>
            <w:tcW w:w="5582" w:type="dxa"/>
            <w:tcBorders>
              <w:top w:val="single" w:color="auto" w:sz="4" w:space="0"/>
              <w:left w:val="single" w:color="auto" w:sz="4" w:space="0"/>
              <w:bottom w:val="single" w:color="auto" w:sz="4" w:space="0"/>
              <w:right w:val="single" w:color="auto" w:sz="4" w:space="0"/>
            </w:tcBorders>
            <w:vAlign w:val="center"/>
          </w:tcPr>
          <w:p>
            <w:pPr>
              <w:widowControl/>
              <w:ind w:left="10" w:hanging="10"/>
              <w:textAlignment w:val="center"/>
              <w:rPr>
                <w:rFonts w:asciiTheme="minorEastAsia" w:hAnsiTheme="minorEastAsia" w:cstheme="minorEastAsia"/>
                <w:bCs/>
                <w:color w:val="000000"/>
                <w:kern w:val="0"/>
                <w:szCs w:val="21"/>
                <w:highlight w:val="none"/>
                <w:lang w:bidi="ar"/>
              </w:rPr>
            </w:pPr>
            <w:r>
              <w:rPr>
                <w:rFonts w:hint="eastAsia" w:asciiTheme="minorEastAsia" w:hAnsiTheme="minorEastAsia" w:cstheme="minorEastAsia"/>
                <w:kern w:val="0"/>
                <w:szCs w:val="21"/>
                <w:highlight w:val="none"/>
                <w:lang w:bidi="ar"/>
              </w:rPr>
              <w:t>建设工程招标文件备案</w:t>
            </w:r>
          </w:p>
        </w:tc>
        <w:tc>
          <w:tcPr>
            <w:tcW w:w="3804" w:type="dxa"/>
            <w:tcBorders>
              <w:top w:val="single" w:color="auto" w:sz="4" w:space="0"/>
              <w:left w:val="single" w:color="auto" w:sz="4" w:space="0"/>
              <w:bottom w:val="single" w:color="auto" w:sz="4" w:space="0"/>
              <w:right w:val="single" w:color="auto" w:sz="4" w:space="0"/>
            </w:tcBorders>
            <w:vAlign w:val="center"/>
          </w:tcPr>
          <w:p>
            <w:pPr>
              <w:widowControl/>
              <w:ind w:left="10" w:hanging="10"/>
              <w:jc w:val="center"/>
              <w:textAlignment w:val="center"/>
              <w:rPr>
                <w:rFonts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w:t>
            </w:r>
          </w:p>
        </w:tc>
      </w:tr>
    </w:tbl>
    <w:p>
      <w:pPr>
        <w:spacing w:line="500" w:lineRule="exact"/>
        <w:jc w:val="left"/>
        <w:rPr>
          <w:rFonts w:cs="黑体" w:asciiTheme="minorEastAsia" w:hAnsiTheme="minorEastAsia"/>
          <w:sz w:val="24"/>
          <w:szCs w:val="24"/>
          <w:highlight w:val="none"/>
        </w:rPr>
      </w:pPr>
    </w:p>
    <w:p>
      <w:pPr>
        <w:spacing w:line="500" w:lineRule="exact"/>
        <w:ind w:firstLine="700" w:firstLineChars="250"/>
        <w:jc w:val="left"/>
        <w:rPr>
          <w:rFonts w:ascii="黑体" w:hAnsi="黑体" w:eastAsia="黑体" w:cs="黑体"/>
          <w:sz w:val="28"/>
          <w:szCs w:val="28"/>
          <w:highlight w:val="none"/>
        </w:rPr>
      </w:pPr>
      <w:r>
        <w:rPr>
          <w:rFonts w:hint="eastAsia" w:ascii="黑体" w:hAnsi="黑体" w:eastAsia="黑体" w:cs="黑体"/>
          <w:sz w:val="28"/>
          <w:szCs w:val="28"/>
          <w:highlight w:val="none"/>
        </w:rPr>
        <w:t>五、办理时限</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立项用地规划许可阶段审批时限:政府投资类项目为40个工作日，社会投资类项目为20个工作日，社会投资工业园区带方案出让类项目为5个工作日。建设单位自行组织技术审查、材料准备时间不计入审批时限。</w:t>
      </w:r>
    </w:p>
    <w:p>
      <w:pPr>
        <w:spacing w:line="500" w:lineRule="exact"/>
        <w:ind w:firstLine="700" w:firstLineChars="250"/>
        <w:jc w:val="left"/>
        <w:rPr>
          <w:rFonts w:ascii="黑体" w:hAnsi="黑体" w:eastAsia="黑体" w:cs="黑体"/>
          <w:sz w:val="28"/>
          <w:szCs w:val="28"/>
          <w:highlight w:val="none"/>
        </w:rPr>
      </w:pPr>
    </w:p>
    <w:p>
      <w:pPr>
        <w:spacing w:line="500" w:lineRule="exact"/>
        <w:ind w:firstLine="700" w:firstLineChars="250"/>
        <w:jc w:val="left"/>
        <w:rPr>
          <w:rFonts w:ascii="黑体" w:hAnsi="黑体" w:eastAsia="黑体" w:cs="黑体"/>
          <w:sz w:val="28"/>
          <w:szCs w:val="28"/>
          <w:highlight w:val="none"/>
        </w:rPr>
      </w:pPr>
      <w:r>
        <w:rPr>
          <w:rFonts w:hint="eastAsia" w:ascii="黑体" w:hAnsi="黑体" w:eastAsia="黑体" w:cs="黑体"/>
          <w:sz w:val="28"/>
          <w:szCs w:val="28"/>
          <w:highlight w:val="none"/>
        </w:rPr>
        <w:t>六、申办方式</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1.登陆“广东省政务服务网</w:t>
      </w:r>
      <w:r>
        <w:rPr>
          <w:highlight w:val="none"/>
        </w:rPr>
        <w:fldChar w:fldCharType="begin"/>
      </w:r>
      <w:r>
        <w:rPr>
          <w:highlight w:val="none"/>
        </w:rPr>
        <w:instrText xml:space="preserve"> HYPERLINK "http://www.gdzwfw.gov.cn" </w:instrText>
      </w:r>
      <w:r>
        <w:rPr>
          <w:highlight w:val="none"/>
        </w:rPr>
        <w:fldChar w:fldCharType="separate"/>
      </w:r>
      <w:r>
        <w:rPr>
          <w:rFonts w:hint="eastAsia" w:asciiTheme="minorEastAsia" w:hAnsiTheme="minorEastAsia"/>
          <w:sz w:val="24"/>
          <w:szCs w:val="24"/>
          <w:highlight w:val="none"/>
        </w:rPr>
        <w:t>http://www.gdzwfw.gov.cn</w:t>
      </w:r>
      <w:r>
        <w:rPr>
          <w:rFonts w:hint="eastAsia" w:asciiTheme="minorEastAsia" w:hAnsiTheme="minorEastAsia"/>
          <w:sz w:val="24"/>
          <w:szCs w:val="24"/>
          <w:highlight w:val="none"/>
        </w:rPr>
        <w:fldChar w:fldCharType="end"/>
      </w:r>
      <w:r>
        <w:rPr>
          <w:rFonts w:hint="eastAsia" w:cs="黑体" w:asciiTheme="minorEastAsia" w:hAnsiTheme="minorEastAsia"/>
          <w:sz w:val="24"/>
          <w:szCs w:val="24"/>
          <w:highlight w:val="none"/>
        </w:rPr>
        <w:t>”湛江市工程建设项目审批管理平台提出申请。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2.向湛江市行政服务中心综合服务窗口（326、327窗口）提出申请。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湛江市行政服务中心地址：</w:t>
      </w:r>
      <w:r>
        <w:rPr>
          <w:rFonts w:cs="黑体" w:asciiTheme="minorEastAsia" w:hAnsiTheme="minorEastAsia"/>
          <w:sz w:val="24"/>
          <w:szCs w:val="24"/>
          <w:highlight w:val="none"/>
        </w:rPr>
        <w:t>湛江市赤坎区体育北路15号</w:t>
      </w:r>
      <w:r>
        <w:rPr>
          <w:rFonts w:hint="eastAsia" w:cs="黑体" w:asciiTheme="minorEastAsia" w:hAnsiTheme="minorEastAsia"/>
          <w:sz w:val="24"/>
          <w:szCs w:val="24"/>
          <w:highlight w:val="none"/>
        </w:rPr>
        <w:t>，咨询电话：0759-3223563。</w:t>
      </w:r>
    </w:p>
    <w:p>
      <w:pPr>
        <w:spacing w:line="500" w:lineRule="exact"/>
        <w:ind w:firstLine="600" w:firstLineChars="250"/>
        <w:jc w:val="left"/>
        <w:rPr>
          <w:rFonts w:cs="黑体" w:asciiTheme="minorEastAsia" w:hAnsiTheme="minorEastAsia"/>
          <w:sz w:val="24"/>
          <w:szCs w:val="24"/>
          <w:highlight w:val="none"/>
        </w:rPr>
      </w:pPr>
    </w:p>
    <w:p>
      <w:pPr>
        <w:spacing w:line="500" w:lineRule="exact"/>
        <w:ind w:firstLine="700" w:firstLineChars="250"/>
        <w:jc w:val="left"/>
        <w:rPr>
          <w:rFonts w:asciiTheme="minorEastAsia" w:hAnsiTheme="minorEastAsia"/>
          <w:szCs w:val="21"/>
          <w:highlight w:val="none"/>
        </w:rPr>
      </w:pPr>
      <w:r>
        <w:rPr>
          <w:rFonts w:hint="eastAsia" w:ascii="黑体" w:hAnsi="黑体" w:eastAsia="黑体" w:cs="黑体"/>
          <w:sz w:val="28"/>
          <w:szCs w:val="28"/>
          <w:highlight w:val="none"/>
        </w:rPr>
        <w:t>七、办事流程</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1.申请单位网上申请，并将纸质材料送至市行政服务中心工程建设项目审批综合服务窗口。</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2.综合服务窗口接件，纸质材料连同电子资料推送至各并联审批部门。</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3.并联审批部门对申请材料进行审查。材料符合要求，作出审批决定；材料不符合要求，一次性告知补正材料或退回申请。</w:t>
      </w:r>
    </w:p>
    <w:p>
      <w:pPr>
        <w:spacing w:line="500" w:lineRule="exact"/>
        <w:ind w:firstLine="600" w:firstLineChars="250"/>
        <w:jc w:val="left"/>
        <w:rPr>
          <w:rFonts w:cs="黑体" w:asciiTheme="minorEastAsia" w:hAnsiTheme="minorEastAsia"/>
          <w:sz w:val="24"/>
          <w:szCs w:val="24"/>
          <w:highlight w:val="none"/>
        </w:rPr>
      </w:pPr>
      <w:r>
        <w:rPr>
          <w:rFonts w:hint="eastAsia" w:cs="黑体" w:asciiTheme="minorEastAsia" w:hAnsiTheme="minorEastAsia"/>
          <w:sz w:val="24"/>
          <w:szCs w:val="24"/>
          <w:highlight w:val="none"/>
        </w:rPr>
        <w:t>4.综合服务窗口统一发送审批结果文书。办理结果送达方式包括：（1）综合服务窗口取件；（2）邮寄送达。</w:t>
      </w:r>
    </w:p>
    <w:p>
      <w:pPr>
        <w:spacing w:line="500" w:lineRule="exact"/>
        <w:ind w:firstLine="700" w:firstLineChars="250"/>
        <w:jc w:val="left"/>
        <w:rPr>
          <w:rFonts w:ascii="黑体" w:hAnsi="黑体" w:eastAsia="黑体" w:cs="黑体"/>
          <w:sz w:val="28"/>
          <w:szCs w:val="28"/>
          <w:highlight w:val="none"/>
        </w:rPr>
      </w:pPr>
    </w:p>
    <w:p>
      <w:pPr>
        <w:spacing w:line="500" w:lineRule="exact"/>
        <w:ind w:firstLine="700" w:firstLineChars="250"/>
        <w:jc w:val="left"/>
        <w:rPr>
          <w:rFonts w:ascii="黑体" w:hAnsi="黑体" w:eastAsia="黑体" w:cs="黑体"/>
          <w:sz w:val="28"/>
          <w:szCs w:val="28"/>
          <w:highlight w:val="none"/>
        </w:rPr>
      </w:pPr>
    </w:p>
    <w:p>
      <w:pPr>
        <w:rPr>
          <w:rFonts w:cs="黑体" w:asciiTheme="minorEastAsia" w:hAnsiTheme="minorEastAsia"/>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7"/>
                            </w:rPr>
                          </w:pPr>
                          <w:r>
                            <w:fldChar w:fldCharType="begin"/>
                          </w:r>
                          <w:r>
                            <w:rPr>
                              <w:rStyle w:val="17"/>
                            </w:rPr>
                            <w:instrText xml:space="preserve">PAGE  </w:instrText>
                          </w:r>
                          <w:r>
                            <w:fldChar w:fldCharType="separate"/>
                          </w:r>
                          <w:r>
                            <w:rPr>
                              <w:rStyle w:val="17"/>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1F23C"/>
    <w:multiLevelType w:val="singleLevel"/>
    <w:tmpl w:val="C271F2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41"/>
    <w:rsid w:val="0001354E"/>
    <w:rsid w:val="00023157"/>
    <w:rsid w:val="00030E86"/>
    <w:rsid w:val="00055C46"/>
    <w:rsid w:val="0005697E"/>
    <w:rsid w:val="00066847"/>
    <w:rsid w:val="0008134E"/>
    <w:rsid w:val="000A07FD"/>
    <w:rsid w:val="000B1BDB"/>
    <w:rsid w:val="000B34F2"/>
    <w:rsid w:val="000E4DCB"/>
    <w:rsid w:val="001149C6"/>
    <w:rsid w:val="00132F10"/>
    <w:rsid w:val="00145084"/>
    <w:rsid w:val="001509F0"/>
    <w:rsid w:val="00155AFC"/>
    <w:rsid w:val="00175CC9"/>
    <w:rsid w:val="001A1FAD"/>
    <w:rsid w:val="001D53FD"/>
    <w:rsid w:val="001E5481"/>
    <w:rsid w:val="00202E29"/>
    <w:rsid w:val="00226AD4"/>
    <w:rsid w:val="002327D4"/>
    <w:rsid w:val="00234689"/>
    <w:rsid w:val="0023793B"/>
    <w:rsid w:val="002705A8"/>
    <w:rsid w:val="00296AC6"/>
    <w:rsid w:val="002D1970"/>
    <w:rsid w:val="00303F65"/>
    <w:rsid w:val="003068FD"/>
    <w:rsid w:val="00321AF9"/>
    <w:rsid w:val="00322675"/>
    <w:rsid w:val="00332E41"/>
    <w:rsid w:val="00333BA2"/>
    <w:rsid w:val="00371291"/>
    <w:rsid w:val="003A1D4E"/>
    <w:rsid w:val="003C314E"/>
    <w:rsid w:val="003C5B13"/>
    <w:rsid w:val="003E3AA1"/>
    <w:rsid w:val="00401090"/>
    <w:rsid w:val="00403500"/>
    <w:rsid w:val="0040683A"/>
    <w:rsid w:val="00410171"/>
    <w:rsid w:val="00413BD1"/>
    <w:rsid w:val="00413D89"/>
    <w:rsid w:val="00456A8F"/>
    <w:rsid w:val="00466E81"/>
    <w:rsid w:val="00471F2E"/>
    <w:rsid w:val="00473E74"/>
    <w:rsid w:val="004850E6"/>
    <w:rsid w:val="00487F9F"/>
    <w:rsid w:val="004A3BFE"/>
    <w:rsid w:val="004A514B"/>
    <w:rsid w:val="004C2CB5"/>
    <w:rsid w:val="0050335A"/>
    <w:rsid w:val="00522645"/>
    <w:rsid w:val="00584857"/>
    <w:rsid w:val="005849DE"/>
    <w:rsid w:val="005A460D"/>
    <w:rsid w:val="005B2062"/>
    <w:rsid w:val="005C4431"/>
    <w:rsid w:val="005D0A4B"/>
    <w:rsid w:val="005D5550"/>
    <w:rsid w:val="005D6ED7"/>
    <w:rsid w:val="005F1512"/>
    <w:rsid w:val="00600576"/>
    <w:rsid w:val="00615288"/>
    <w:rsid w:val="00620EFB"/>
    <w:rsid w:val="00653479"/>
    <w:rsid w:val="00667B89"/>
    <w:rsid w:val="006758B6"/>
    <w:rsid w:val="006B236F"/>
    <w:rsid w:val="006C7DDA"/>
    <w:rsid w:val="00712071"/>
    <w:rsid w:val="007136AB"/>
    <w:rsid w:val="00720DE0"/>
    <w:rsid w:val="00747240"/>
    <w:rsid w:val="00753D15"/>
    <w:rsid w:val="00754E74"/>
    <w:rsid w:val="00762E24"/>
    <w:rsid w:val="007672BF"/>
    <w:rsid w:val="00787956"/>
    <w:rsid w:val="007A17FA"/>
    <w:rsid w:val="007C631E"/>
    <w:rsid w:val="007F2BB1"/>
    <w:rsid w:val="0083552C"/>
    <w:rsid w:val="008458C0"/>
    <w:rsid w:val="00863CA7"/>
    <w:rsid w:val="008806CD"/>
    <w:rsid w:val="00893273"/>
    <w:rsid w:val="00897237"/>
    <w:rsid w:val="008E132A"/>
    <w:rsid w:val="008E28D2"/>
    <w:rsid w:val="00922B23"/>
    <w:rsid w:val="00935A6B"/>
    <w:rsid w:val="0096654B"/>
    <w:rsid w:val="0097039A"/>
    <w:rsid w:val="00995E6D"/>
    <w:rsid w:val="009A6923"/>
    <w:rsid w:val="009C0904"/>
    <w:rsid w:val="009C135D"/>
    <w:rsid w:val="009C755D"/>
    <w:rsid w:val="009D063C"/>
    <w:rsid w:val="009D2F23"/>
    <w:rsid w:val="009F36E2"/>
    <w:rsid w:val="00A3133D"/>
    <w:rsid w:val="00A356ED"/>
    <w:rsid w:val="00A46F42"/>
    <w:rsid w:val="00A533A4"/>
    <w:rsid w:val="00A638F7"/>
    <w:rsid w:val="00B20A36"/>
    <w:rsid w:val="00B35FA6"/>
    <w:rsid w:val="00B53455"/>
    <w:rsid w:val="00B606BC"/>
    <w:rsid w:val="00B73F4C"/>
    <w:rsid w:val="00B818D7"/>
    <w:rsid w:val="00BA1694"/>
    <w:rsid w:val="00BF2AFA"/>
    <w:rsid w:val="00BF4076"/>
    <w:rsid w:val="00C14D9B"/>
    <w:rsid w:val="00CA2FF4"/>
    <w:rsid w:val="00CA7B2A"/>
    <w:rsid w:val="00CB1E93"/>
    <w:rsid w:val="00CC64E2"/>
    <w:rsid w:val="00CD4200"/>
    <w:rsid w:val="00CE227A"/>
    <w:rsid w:val="00CE408B"/>
    <w:rsid w:val="00CF2639"/>
    <w:rsid w:val="00D07020"/>
    <w:rsid w:val="00D1365F"/>
    <w:rsid w:val="00D25868"/>
    <w:rsid w:val="00D3571A"/>
    <w:rsid w:val="00D4676D"/>
    <w:rsid w:val="00D57D63"/>
    <w:rsid w:val="00DB2ECD"/>
    <w:rsid w:val="00DC3009"/>
    <w:rsid w:val="00DE178A"/>
    <w:rsid w:val="00DE3368"/>
    <w:rsid w:val="00E01FFA"/>
    <w:rsid w:val="00E10B1B"/>
    <w:rsid w:val="00E527FD"/>
    <w:rsid w:val="00EC26D4"/>
    <w:rsid w:val="00EC3DBC"/>
    <w:rsid w:val="00EE6239"/>
    <w:rsid w:val="00EF0B47"/>
    <w:rsid w:val="00F062BD"/>
    <w:rsid w:val="00F16A1C"/>
    <w:rsid w:val="00F36565"/>
    <w:rsid w:val="00F45008"/>
    <w:rsid w:val="00F562A5"/>
    <w:rsid w:val="00F70CEB"/>
    <w:rsid w:val="00F741FE"/>
    <w:rsid w:val="00F8363C"/>
    <w:rsid w:val="00F9798C"/>
    <w:rsid w:val="00FA794D"/>
    <w:rsid w:val="00FD2CC0"/>
    <w:rsid w:val="00FE760C"/>
    <w:rsid w:val="00FF0D5A"/>
    <w:rsid w:val="03DC1A03"/>
    <w:rsid w:val="0544555D"/>
    <w:rsid w:val="05E002E1"/>
    <w:rsid w:val="05F956A4"/>
    <w:rsid w:val="06373B7F"/>
    <w:rsid w:val="08B953B2"/>
    <w:rsid w:val="0AA1397B"/>
    <w:rsid w:val="0D421099"/>
    <w:rsid w:val="0F4A28EC"/>
    <w:rsid w:val="1396672B"/>
    <w:rsid w:val="14397033"/>
    <w:rsid w:val="16F42789"/>
    <w:rsid w:val="1B9472D0"/>
    <w:rsid w:val="1BE6402F"/>
    <w:rsid w:val="200E7A4D"/>
    <w:rsid w:val="21601C02"/>
    <w:rsid w:val="281B7977"/>
    <w:rsid w:val="2CD6336E"/>
    <w:rsid w:val="2FBB5246"/>
    <w:rsid w:val="30887EB8"/>
    <w:rsid w:val="36F67052"/>
    <w:rsid w:val="371D3A16"/>
    <w:rsid w:val="37736781"/>
    <w:rsid w:val="3CFA2AD5"/>
    <w:rsid w:val="3E6237EE"/>
    <w:rsid w:val="401061A0"/>
    <w:rsid w:val="422B46E4"/>
    <w:rsid w:val="43CC2C3D"/>
    <w:rsid w:val="446A1D55"/>
    <w:rsid w:val="44F01C5E"/>
    <w:rsid w:val="46337016"/>
    <w:rsid w:val="4A6B7E56"/>
    <w:rsid w:val="4C0F1545"/>
    <w:rsid w:val="4DF1499A"/>
    <w:rsid w:val="5246005F"/>
    <w:rsid w:val="55830C1D"/>
    <w:rsid w:val="564859C0"/>
    <w:rsid w:val="5A090D39"/>
    <w:rsid w:val="5C091D28"/>
    <w:rsid w:val="5D2620A4"/>
    <w:rsid w:val="605A47FB"/>
    <w:rsid w:val="61367494"/>
    <w:rsid w:val="6340756F"/>
    <w:rsid w:val="659D0C75"/>
    <w:rsid w:val="67FF312A"/>
    <w:rsid w:val="6C565BE1"/>
    <w:rsid w:val="6D2B7370"/>
    <w:rsid w:val="71F70749"/>
    <w:rsid w:val="74626570"/>
    <w:rsid w:val="7548265B"/>
    <w:rsid w:val="755D70F2"/>
    <w:rsid w:val="76792AEC"/>
    <w:rsid w:val="7DB3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1"/>
    <w:pPr>
      <w:autoSpaceDE w:val="0"/>
      <w:autoSpaceDN w:val="0"/>
      <w:spacing w:before="38"/>
      <w:ind w:left="2880" w:right="3659"/>
      <w:jc w:val="center"/>
      <w:outlineLvl w:val="0"/>
    </w:pPr>
    <w:rPr>
      <w:rFonts w:ascii="宋体" w:hAnsi="宋体" w:eastAsia="宋体" w:cs="宋体"/>
      <w:kern w:val="0"/>
      <w:sz w:val="44"/>
      <w:szCs w:val="44"/>
      <w:lang w:val="zh-CN" w:bidi="zh-CN"/>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3"/>
    <w:unhideWhenUsed/>
    <w:qFormat/>
    <w:uiPriority w:val="1"/>
    <w:pPr>
      <w:spacing w:after="120"/>
    </w:pPr>
  </w:style>
  <w:style w:type="paragraph" w:styleId="5">
    <w:name w:val="Body Text Indent"/>
    <w:basedOn w:val="1"/>
    <w:qFormat/>
    <w:uiPriority w:val="0"/>
    <w:pPr>
      <w:spacing w:line="360" w:lineRule="auto"/>
      <w:ind w:firstLine="640" w:firstLineChars="200"/>
    </w:pPr>
    <w:rPr>
      <w:rFonts w:ascii="宋体" w:hAnsi="宋体"/>
      <w:sz w:val="32"/>
      <w:szCs w:val="32"/>
    </w:rPr>
  </w:style>
  <w:style w:type="paragraph" w:styleId="6">
    <w:name w:val="toc 3"/>
    <w:basedOn w:val="1"/>
    <w:next w:val="1"/>
    <w:semiHidden/>
    <w:qFormat/>
    <w:uiPriority w:val="0"/>
    <w:pPr>
      <w:ind w:left="840" w:leftChars="400"/>
    </w:pPr>
  </w:style>
  <w:style w:type="paragraph" w:styleId="7">
    <w:name w:val="Plain Text"/>
    <w:basedOn w:val="1"/>
    <w:unhideWhenUsed/>
    <w:qFormat/>
    <w:uiPriority w:val="99"/>
    <w:rPr>
      <w:rFonts w:ascii="宋体" w:hAnsi="Courier New"/>
      <w:sz w:val="24"/>
      <w:szCs w:val="20"/>
    </w:rPr>
  </w:style>
  <w:style w:type="paragraph" w:styleId="8">
    <w:name w:val="Date"/>
    <w:basedOn w:val="1"/>
    <w:next w:val="1"/>
    <w:qFormat/>
    <w:uiPriority w:val="0"/>
    <w:pPr>
      <w:ind w:left="100" w:leftChars="2500"/>
    </w:p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left" w:pos="1050"/>
        <w:tab w:val="right" w:leader="dot" w:pos="9350"/>
      </w:tabs>
      <w:spacing w:line="600" w:lineRule="exact"/>
      <w:ind w:firstLine="630" w:firstLineChars="196"/>
      <w:jc w:val="left"/>
    </w:pPr>
    <w:rPr>
      <w:rFonts w:ascii="楷体_GB2312" w:hAnsi="仿宋_GB2312" w:eastAsia="楷体_GB2312"/>
      <w:b/>
      <w:bCs/>
      <w:kern w:val="0"/>
      <w:sz w:val="32"/>
      <w:szCs w:val="32"/>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默认段落字体 Para Char Char Char Char"/>
    <w:basedOn w:val="1"/>
    <w:qFormat/>
    <w:uiPriority w:val="0"/>
  </w:style>
  <w:style w:type="table" w:customStyle="1" w:styleId="20">
    <w:name w:val="TableGrid"/>
    <w:qFormat/>
    <w:uiPriority w:val="0"/>
    <w:tblPr>
      <w:tblLayout w:type="fixed"/>
      <w:tblCellMar>
        <w:top w:w="0" w:type="dxa"/>
        <w:left w:w="0" w:type="dxa"/>
        <w:bottom w:w="0" w:type="dxa"/>
        <w:right w:w="0" w:type="dxa"/>
      </w:tblCellMar>
    </w:tblPr>
  </w:style>
  <w:style w:type="character" w:customStyle="1" w:styleId="21">
    <w:name w:val="页眉 Char"/>
    <w:basedOn w:val="15"/>
    <w:link w:val="10"/>
    <w:qFormat/>
    <w:uiPriority w:val="0"/>
    <w:rPr>
      <w:sz w:val="18"/>
      <w:szCs w:val="18"/>
    </w:rPr>
  </w:style>
  <w:style w:type="character" w:customStyle="1" w:styleId="22">
    <w:name w:val="页脚 Char"/>
    <w:basedOn w:val="15"/>
    <w:link w:val="9"/>
    <w:qFormat/>
    <w:uiPriority w:val="99"/>
    <w:rPr>
      <w:sz w:val="18"/>
      <w:szCs w:val="18"/>
    </w:rPr>
  </w:style>
  <w:style w:type="character" w:customStyle="1" w:styleId="23">
    <w:name w:val="正文文本 Char"/>
    <w:basedOn w:val="15"/>
    <w:link w:val="4"/>
    <w:qFormat/>
    <w:uiPriority w:val="1"/>
  </w:style>
  <w:style w:type="character" w:customStyle="1" w:styleId="24">
    <w:name w:val="标题 1 Char"/>
    <w:basedOn w:val="15"/>
    <w:link w:val="2"/>
    <w:qFormat/>
    <w:uiPriority w:val="1"/>
    <w:rPr>
      <w:rFonts w:ascii="宋体" w:hAnsi="宋体" w:eastAsia="宋体" w:cs="宋体"/>
      <w:kern w:val="0"/>
      <w:sz w:val="44"/>
      <w:szCs w:val="44"/>
      <w:lang w:val="zh-CN" w:bidi="zh-CN"/>
    </w:rPr>
  </w:style>
  <w:style w:type="paragraph" w:customStyle="1" w:styleId="25">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宋体" w:cs="Times New Roman"/>
      <w:sz w:val="24"/>
      <w:szCs w:val="24"/>
    </w:rPr>
  </w:style>
  <w:style w:type="paragraph" w:customStyle="1" w:styleId="26">
    <w:name w:val="普通(网站)1"/>
    <w:basedOn w:val="1"/>
    <w:qFormat/>
    <w:uiPriority w:val="0"/>
    <w:pPr>
      <w:jc w:val="left"/>
    </w:pPr>
    <w:rPr>
      <w:rFonts w:ascii="Times New Roman" w:hAnsi="Times New Roman" w:eastAsia="宋体" w:cs="Times New Roman"/>
      <w:kern w:val="0"/>
      <w:sz w:val="24"/>
      <w:szCs w:val="24"/>
    </w:rPr>
  </w:style>
  <w:style w:type="paragraph" w:customStyle="1" w:styleId="27">
    <w:name w:val="Table Paragraph"/>
    <w:basedOn w:val="1"/>
    <w:qFormat/>
    <w:uiPriority w:val="1"/>
    <w:pPr>
      <w:autoSpaceDE w:val="0"/>
      <w:autoSpaceDN w:val="0"/>
      <w:jc w:val="left"/>
    </w:pPr>
    <w:rPr>
      <w:rFonts w:ascii="新宋体" w:hAnsi="新宋体" w:eastAsia="新宋体" w:cs="新宋体"/>
      <w:kern w:val="0"/>
      <w:sz w:val="22"/>
      <w:lang w:val="zh-CN" w:bidi="zh-CN"/>
    </w:rPr>
  </w:style>
  <w:style w:type="character" w:customStyle="1" w:styleId="28">
    <w:name w:val="font31"/>
    <w:basedOn w:val="15"/>
    <w:qFormat/>
    <w:uiPriority w:val="0"/>
    <w:rPr>
      <w:rFonts w:hint="eastAsia" w:ascii="宋体" w:hAnsi="宋体" w:eastAsia="宋体" w:cs="宋体"/>
      <w:b/>
      <w:color w:val="000000"/>
      <w:sz w:val="18"/>
      <w:szCs w:val="18"/>
      <w:u w:val="none"/>
    </w:rPr>
  </w:style>
  <w:style w:type="character" w:customStyle="1" w:styleId="29">
    <w:name w:val="font51"/>
    <w:basedOn w:val="15"/>
    <w:qFormat/>
    <w:uiPriority w:val="0"/>
    <w:rPr>
      <w:rFonts w:hint="eastAsia" w:ascii="宋体" w:hAnsi="宋体" w:eastAsia="宋体" w:cs="宋体"/>
      <w:color w:val="FF0000"/>
      <w:sz w:val="18"/>
      <w:szCs w:val="18"/>
      <w:u w:val="none"/>
    </w:rPr>
  </w:style>
  <w:style w:type="character" w:customStyle="1" w:styleId="30">
    <w:name w:val="font61"/>
    <w:basedOn w:val="15"/>
    <w:qFormat/>
    <w:uiPriority w:val="0"/>
    <w:rPr>
      <w:rFonts w:hint="eastAsia" w:ascii="宋体" w:hAnsi="宋体" w:eastAsia="宋体" w:cs="宋体"/>
      <w:color w:val="FF0000"/>
      <w:sz w:val="18"/>
      <w:szCs w:val="18"/>
      <w:u w:val="none"/>
    </w:rPr>
  </w:style>
  <w:style w:type="character" w:customStyle="1" w:styleId="31">
    <w:name w:val="font11"/>
    <w:basedOn w:val="15"/>
    <w:qFormat/>
    <w:uiPriority w:val="0"/>
    <w:rPr>
      <w:rFonts w:hint="eastAsia" w:ascii="宋体" w:hAnsi="宋体" w:eastAsia="宋体" w:cs="宋体"/>
      <w:color w:val="000000"/>
      <w:sz w:val="18"/>
      <w:szCs w:val="18"/>
      <w:u w:val="none"/>
    </w:rPr>
  </w:style>
  <w:style w:type="character" w:customStyle="1" w:styleId="32">
    <w:name w:val="font01"/>
    <w:basedOn w:val="15"/>
    <w:qFormat/>
    <w:uiPriority w:val="0"/>
    <w:rPr>
      <w:rFonts w:hint="eastAsia" w:ascii="宋体" w:hAnsi="宋体" w:eastAsia="宋体" w:cs="宋体"/>
      <w:b/>
      <w:color w:val="000000"/>
      <w:sz w:val="40"/>
      <w:szCs w:val="40"/>
      <w:u w:val="none"/>
    </w:rPr>
  </w:style>
  <w:style w:type="character" w:customStyle="1" w:styleId="33">
    <w:name w:val="font41"/>
    <w:basedOn w:val="15"/>
    <w:qFormat/>
    <w:uiPriority w:val="0"/>
    <w:rPr>
      <w:rFonts w:hint="eastAsia" w:ascii="宋体" w:hAnsi="宋体" w:eastAsia="宋体" w:cs="宋体"/>
      <w:b/>
      <w:color w:val="000000"/>
      <w:sz w:val="18"/>
      <w:szCs w:val="18"/>
      <w:u w:val="none"/>
    </w:rPr>
  </w:style>
  <w:style w:type="paragraph" w:customStyle="1" w:styleId="3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character" w:customStyle="1" w:styleId="36">
    <w:name w:val="font21"/>
    <w:basedOn w:val="15"/>
    <w:qFormat/>
    <w:uiPriority w:val="0"/>
    <w:rPr>
      <w:rFonts w:hint="eastAsia" w:ascii="宋体" w:hAnsi="宋体" w:eastAsia="宋体" w:cs="宋体"/>
      <w:b/>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0F0DA-1F2B-474B-88DD-3F7E28422D02}">
  <ds:schemaRefs/>
</ds:datastoreItem>
</file>

<file path=docProps/app.xml><?xml version="1.0" encoding="utf-8"?>
<Properties xmlns="http://schemas.openxmlformats.org/officeDocument/2006/extended-properties" xmlns:vt="http://schemas.openxmlformats.org/officeDocument/2006/docPropsVTypes">
  <Template>Normal</Template>
  <Company>zjhkdn</Company>
  <Pages>80</Pages>
  <Words>5474</Words>
  <Characters>31204</Characters>
  <Lines>260</Lines>
  <Paragraphs>73</Paragraphs>
  <TotalTime>1</TotalTime>
  <ScaleCrop>false</ScaleCrop>
  <LinksUpToDate>false</LinksUpToDate>
  <CharactersWithSpaces>36605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2019-07-02T08:01:00Z</dcterms:created>
  <dc:creator>张海燕</dc:creator>
  <cp:lastModifiedBy>甜甜</cp:lastModifiedBy>
  <cp:lastPrinted>2019-07-04T07:54:00Z</cp:lastPrinted>
  <dcterms:modified xsi:type="dcterms:W3CDTF">2019-08-30T07:05:20Z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