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708" w:rsidRPr="00D66708" w:rsidRDefault="004A2C40" w:rsidP="009253EA">
      <w:pPr>
        <w:topLinePunct/>
        <w:autoSpaceDE w:val="0"/>
        <w:autoSpaceDN w:val="0"/>
        <w:spacing w:line="600" w:lineRule="exact"/>
        <w:jc w:val="center"/>
        <w:rPr>
          <w:rFonts w:asciiTheme="majorEastAsia" w:eastAsiaTheme="majorEastAsia" w:hAnsiTheme="majorEastAsia"/>
          <w:b/>
          <w:sz w:val="44"/>
          <w:szCs w:val="44"/>
        </w:rPr>
      </w:pPr>
      <w:r w:rsidRPr="004A2C40">
        <w:rPr>
          <w:rFonts w:asciiTheme="majorEastAsia" w:eastAsiaTheme="majorEastAsia" w:hAnsiTheme="majorEastAsia" w:hint="eastAsia"/>
          <w:b/>
          <w:sz w:val="44"/>
          <w:szCs w:val="44"/>
        </w:rPr>
        <w:t>湛江市</w:t>
      </w:r>
      <w:r w:rsidRPr="004A2C40">
        <w:rPr>
          <w:rFonts w:asciiTheme="majorEastAsia" w:eastAsiaTheme="majorEastAsia" w:hAnsiTheme="majorEastAsia"/>
          <w:b/>
          <w:sz w:val="44"/>
          <w:szCs w:val="44"/>
        </w:rPr>
        <w:t>201</w:t>
      </w:r>
      <w:r w:rsidRPr="004A2C40">
        <w:rPr>
          <w:rFonts w:asciiTheme="majorEastAsia" w:eastAsiaTheme="majorEastAsia" w:hAnsiTheme="majorEastAsia" w:hint="eastAsia"/>
          <w:b/>
          <w:sz w:val="44"/>
          <w:szCs w:val="44"/>
        </w:rPr>
        <w:t>8</w:t>
      </w:r>
      <w:r w:rsidRPr="004A2C40">
        <w:rPr>
          <w:rFonts w:asciiTheme="majorEastAsia" w:eastAsiaTheme="majorEastAsia" w:hAnsiTheme="majorEastAsia"/>
          <w:b/>
          <w:sz w:val="44"/>
          <w:szCs w:val="44"/>
        </w:rPr>
        <w:t>年度</w:t>
      </w:r>
      <w:r w:rsidRPr="004A2C40">
        <w:rPr>
          <w:rFonts w:asciiTheme="majorEastAsia" w:eastAsiaTheme="majorEastAsia" w:hAnsiTheme="majorEastAsia" w:hint="eastAsia"/>
          <w:b/>
          <w:sz w:val="44"/>
          <w:szCs w:val="44"/>
        </w:rPr>
        <w:t>城市公交车</w:t>
      </w:r>
      <w:r w:rsidRPr="004A2C40">
        <w:rPr>
          <w:rFonts w:asciiTheme="majorEastAsia" w:eastAsiaTheme="majorEastAsia" w:hAnsiTheme="majorEastAsia"/>
          <w:b/>
          <w:sz w:val="44"/>
          <w:szCs w:val="44"/>
        </w:rPr>
        <w:t>中央财政成品油价格补助资金</w:t>
      </w:r>
      <w:r w:rsidR="002D1B02">
        <w:rPr>
          <w:rFonts w:asciiTheme="majorEastAsia" w:eastAsiaTheme="majorEastAsia" w:hAnsiTheme="majorEastAsia" w:hint="eastAsia"/>
          <w:b/>
          <w:sz w:val="44"/>
          <w:szCs w:val="44"/>
        </w:rPr>
        <w:t>（</w:t>
      </w:r>
      <w:r w:rsidR="009253EA" w:rsidRPr="009253EA">
        <w:rPr>
          <w:rFonts w:asciiTheme="majorEastAsia" w:eastAsiaTheme="majorEastAsia" w:hAnsiTheme="majorEastAsia" w:hint="eastAsia"/>
          <w:b/>
          <w:sz w:val="44"/>
          <w:szCs w:val="44"/>
        </w:rPr>
        <w:t>20%涨价补助</w:t>
      </w:r>
      <w:r w:rsidR="002D1B02">
        <w:rPr>
          <w:rFonts w:asciiTheme="majorEastAsia" w:eastAsiaTheme="majorEastAsia" w:hAnsiTheme="majorEastAsia" w:hint="eastAsia"/>
          <w:b/>
          <w:sz w:val="44"/>
          <w:szCs w:val="44"/>
        </w:rPr>
        <w:t>）</w:t>
      </w:r>
      <w:r w:rsidRPr="004A2C40">
        <w:rPr>
          <w:rFonts w:asciiTheme="majorEastAsia" w:eastAsiaTheme="majorEastAsia" w:hAnsiTheme="majorEastAsia" w:hint="eastAsia"/>
          <w:b/>
          <w:sz w:val="44"/>
          <w:szCs w:val="44"/>
        </w:rPr>
        <w:t>分配</w:t>
      </w:r>
      <w:r w:rsidR="00CD627F" w:rsidRPr="00CD627F">
        <w:rPr>
          <w:rFonts w:asciiTheme="majorEastAsia" w:eastAsiaTheme="majorEastAsia" w:hAnsiTheme="majorEastAsia"/>
          <w:b/>
          <w:sz w:val="44"/>
          <w:szCs w:val="44"/>
        </w:rPr>
        <w:t>方</w:t>
      </w:r>
      <w:r w:rsidR="00CD627F" w:rsidRPr="00CD627F">
        <w:rPr>
          <w:rFonts w:asciiTheme="majorEastAsia" w:eastAsiaTheme="majorEastAsia" w:hAnsiTheme="majorEastAsia" w:hint="eastAsia"/>
          <w:b/>
          <w:sz w:val="44"/>
          <w:szCs w:val="44"/>
        </w:rPr>
        <w:t>案</w:t>
      </w:r>
    </w:p>
    <w:p w:rsidR="00D66708" w:rsidRDefault="00D66708" w:rsidP="008D5244">
      <w:pPr>
        <w:topLinePunct/>
        <w:autoSpaceDE w:val="0"/>
        <w:autoSpaceDN w:val="0"/>
        <w:spacing w:line="600" w:lineRule="exact"/>
        <w:rPr>
          <w:rFonts w:ascii="仿宋_GB2312"/>
          <w:szCs w:val="32"/>
        </w:rPr>
      </w:pPr>
    </w:p>
    <w:p w:rsidR="000A7546" w:rsidRDefault="005E4099" w:rsidP="005E4099">
      <w:pPr>
        <w:pStyle w:val="New"/>
        <w:spacing w:line="600" w:lineRule="exact"/>
        <w:ind w:firstLineChars="200" w:firstLine="640"/>
        <w:rPr>
          <w:rFonts w:ascii="仿宋_GB2312" w:eastAsia="仿宋_GB2312" w:hAnsi="仿宋"/>
          <w:sz w:val="32"/>
          <w:szCs w:val="36"/>
        </w:rPr>
      </w:pPr>
      <w:bookmarkStart w:id="0" w:name="Body"/>
      <w:bookmarkEnd w:id="0"/>
      <w:r w:rsidRPr="00624CD1">
        <w:rPr>
          <w:rFonts w:ascii="仿宋_GB2312" w:eastAsia="仿宋_GB2312" w:hAnsi="仿宋" w:hint="eastAsia"/>
          <w:sz w:val="32"/>
          <w:szCs w:val="36"/>
        </w:rPr>
        <w:t>根据省财政厅《</w:t>
      </w:r>
      <w:r w:rsidR="006B1F2F">
        <w:rPr>
          <w:rFonts w:ascii="仿宋_GB2312" w:eastAsia="仿宋_GB2312" w:hAnsi="宋体" w:hint="eastAsia"/>
          <w:sz w:val="32"/>
          <w:szCs w:val="32"/>
        </w:rPr>
        <w:t>广东省财政厅关于下达2019年城市公交车成品油价格补助资金的通知</w:t>
      </w:r>
      <w:r w:rsidRPr="00624CD1">
        <w:rPr>
          <w:rFonts w:ascii="仿宋_GB2312" w:eastAsia="仿宋_GB2312" w:hAnsi="仿宋" w:hint="eastAsia"/>
          <w:sz w:val="32"/>
          <w:szCs w:val="36"/>
        </w:rPr>
        <w:t>》（</w:t>
      </w:r>
      <w:r w:rsidR="006B1F2F" w:rsidRPr="00C556FB">
        <w:rPr>
          <w:rFonts w:ascii="仿宋_GB2312" w:eastAsia="仿宋_GB2312" w:hAnsi="宋体" w:hint="eastAsia"/>
          <w:sz w:val="32"/>
          <w:szCs w:val="32"/>
        </w:rPr>
        <w:t>粤财</w:t>
      </w:r>
      <w:r w:rsidR="006B1F2F">
        <w:rPr>
          <w:rFonts w:ascii="仿宋_GB2312" w:eastAsia="仿宋_GB2312" w:hAnsi="宋体" w:hint="eastAsia"/>
          <w:sz w:val="32"/>
          <w:szCs w:val="32"/>
        </w:rPr>
        <w:t>综</w:t>
      </w:r>
      <w:r w:rsidR="006B1F2F" w:rsidRPr="00C556FB">
        <w:rPr>
          <w:rFonts w:ascii="仿宋_GB2312" w:eastAsia="仿宋_GB2312" w:hAnsi="宋体" w:hint="eastAsia"/>
          <w:sz w:val="32"/>
          <w:szCs w:val="32"/>
        </w:rPr>
        <w:t>〔</w:t>
      </w:r>
      <w:r w:rsidR="006B1F2F">
        <w:rPr>
          <w:rFonts w:ascii="仿宋_GB2312" w:eastAsia="仿宋_GB2312" w:hAnsi="宋体" w:hint="eastAsia"/>
          <w:sz w:val="32"/>
          <w:szCs w:val="32"/>
        </w:rPr>
        <w:t>2019</w:t>
      </w:r>
      <w:r w:rsidR="006B1F2F" w:rsidRPr="00C556FB">
        <w:rPr>
          <w:rFonts w:ascii="仿宋_GB2312" w:eastAsia="仿宋_GB2312" w:hAnsi="宋体" w:hint="eastAsia"/>
          <w:sz w:val="32"/>
          <w:szCs w:val="32"/>
        </w:rPr>
        <w:t>〕</w:t>
      </w:r>
      <w:r w:rsidR="006B1F2F">
        <w:rPr>
          <w:rFonts w:ascii="仿宋_GB2312" w:eastAsia="仿宋_GB2312" w:hAnsi="宋体" w:hint="eastAsia"/>
          <w:sz w:val="32"/>
          <w:szCs w:val="32"/>
        </w:rPr>
        <w:t>78</w:t>
      </w:r>
      <w:r w:rsidR="006B1F2F" w:rsidRPr="00C556FB">
        <w:rPr>
          <w:rFonts w:ascii="仿宋_GB2312" w:eastAsia="仿宋_GB2312" w:hAnsi="宋体" w:hint="eastAsia"/>
          <w:sz w:val="32"/>
          <w:szCs w:val="32"/>
        </w:rPr>
        <w:t>号</w:t>
      </w:r>
      <w:r w:rsidRPr="00624CD1">
        <w:rPr>
          <w:rFonts w:ascii="仿宋_GB2312" w:eastAsia="仿宋_GB2312" w:hAnsi="仿宋" w:hint="eastAsia"/>
          <w:sz w:val="32"/>
          <w:szCs w:val="36"/>
        </w:rPr>
        <w:t>，以下简称《通知》）</w:t>
      </w:r>
      <w:r w:rsidR="002D1B02">
        <w:rPr>
          <w:rFonts w:ascii="仿宋_GB2312" w:eastAsia="仿宋_GB2312" w:hAnsi="仿宋" w:hint="eastAsia"/>
          <w:sz w:val="32"/>
          <w:szCs w:val="36"/>
        </w:rPr>
        <w:t>和</w:t>
      </w:r>
      <w:r w:rsidR="002D1B02" w:rsidRPr="00624CD1">
        <w:rPr>
          <w:rFonts w:ascii="仿宋_GB2312" w:eastAsia="仿宋_GB2312" w:hAnsi="仿宋" w:hint="eastAsia"/>
          <w:sz w:val="32"/>
          <w:szCs w:val="36"/>
        </w:rPr>
        <w:t>《</w:t>
      </w:r>
      <w:r w:rsidR="006B1F2F" w:rsidRPr="006B1F2F">
        <w:rPr>
          <w:rFonts w:ascii="仿宋_GB2312" w:eastAsia="仿宋_GB2312" w:hAnsi="宋体" w:hint="eastAsia"/>
          <w:sz w:val="32"/>
          <w:szCs w:val="32"/>
        </w:rPr>
        <w:t>广东省交通运输厅关于报送2018年城市公交车成品油价格补助资金（20%涨价补助）分配方案的函</w:t>
      </w:r>
      <w:r w:rsidR="002D1B02" w:rsidRPr="00624CD1">
        <w:rPr>
          <w:rFonts w:ascii="仿宋_GB2312" w:eastAsia="仿宋_GB2312" w:hAnsi="仿宋" w:hint="eastAsia"/>
          <w:sz w:val="32"/>
          <w:szCs w:val="36"/>
        </w:rPr>
        <w:t>》（</w:t>
      </w:r>
      <w:r w:rsidR="006B1F2F">
        <w:rPr>
          <w:rFonts w:ascii="仿宋_GB2312" w:eastAsia="仿宋_GB2312" w:hAnsi="宋体" w:hint="eastAsia"/>
          <w:sz w:val="32"/>
          <w:szCs w:val="32"/>
        </w:rPr>
        <w:t>粤交综运字</w:t>
      </w:r>
      <w:r w:rsidR="006B1F2F" w:rsidRPr="00C556FB">
        <w:rPr>
          <w:rFonts w:ascii="仿宋_GB2312" w:eastAsia="仿宋_GB2312" w:hAnsi="宋体" w:hint="eastAsia"/>
          <w:sz w:val="32"/>
          <w:szCs w:val="32"/>
        </w:rPr>
        <w:t>〔</w:t>
      </w:r>
      <w:r w:rsidR="006B1F2F">
        <w:rPr>
          <w:rFonts w:ascii="仿宋_GB2312" w:eastAsia="仿宋_GB2312" w:hAnsi="宋体" w:hint="eastAsia"/>
          <w:sz w:val="32"/>
          <w:szCs w:val="32"/>
        </w:rPr>
        <w:t>2019</w:t>
      </w:r>
      <w:r w:rsidR="006B1F2F" w:rsidRPr="00C556FB">
        <w:rPr>
          <w:rFonts w:ascii="仿宋_GB2312" w:eastAsia="仿宋_GB2312" w:hAnsi="宋体" w:hint="eastAsia"/>
          <w:sz w:val="32"/>
          <w:szCs w:val="32"/>
        </w:rPr>
        <w:t>〕</w:t>
      </w:r>
      <w:r w:rsidR="006B1F2F">
        <w:rPr>
          <w:rFonts w:ascii="仿宋_GB2312" w:eastAsia="仿宋_GB2312" w:hAnsi="宋体" w:hint="eastAsia"/>
          <w:sz w:val="32"/>
          <w:szCs w:val="32"/>
        </w:rPr>
        <w:t>173</w:t>
      </w:r>
      <w:r w:rsidR="006B1F2F" w:rsidRPr="00C556FB">
        <w:rPr>
          <w:rFonts w:ascii="仿宋_GB2312" w:eastAsia="仿宋_GB2312" w:hAnsi="宋体" w:hint="eastAsia"/>
          <w:sz w:val="32"/>
          <w:szCs w:val="32"/>
        </w:rPr>
        <w:t>号</w:t>
      </w:r>
      <w:r w:rsidR="002D1B02" w:rsidRPr="00624CD1">
        <w:rPr>
          <w:rFonts w:ascii="仿宋_GB2312" w:eastAsia="仿宋_GB2312" w:hAnsi="仿宋" w:hint="eastAsia"/>
          <w:sz w:val="32"/>
          <w:szCs w:val="36"/>
        </w:rPr>
        <w:t>）</w:t>
      </w:r>
      <w:r>
        <w:rPr>
          <w:rFonts w:ascii="仿宋_GB2312" w:eastAsia="仿宋_GB2312" w:hAnsi="仿宋" w:hint="eastAsia"/>
          <w:sz w:val="32"/>
          <w:szCs w:val="36"/>
        </w:rPr>
        <w:t>精神</w:t>
      </w:r>
      <w:r w:rsidRPr="00624CD1">
        <w:rPr>
          <w:rFonts w:ascii="仿宋_GB2312" w:eastAsia="仿宋_GB2312" w:hAnsi="仿宋" w:hint="eastAsia"/>
          <w:sz w:val="32"/>
          <w:szCs w:val="36"/>
        </w:rPr>
        <w:t>，</w:t>
      </w:r>
      <w:r w:rsidR="000A7546">
        <w:rPr>
          <w:rFonts w:ascii="仿宋_GB2312" w:eastAsia="仿宋_GB2312" w:hAnsi="仿宋" w:hint="eastAsia"/>
          <w:sz w:val="32"/>
          <w:szCs w:val="36"/>
        </w:rPr>
        <w:t>本次</w:t>
      </w:r>
      <w:r w:rsidRPr="00624CD1">
        <w:rPr>
          <w:rFonts w:ascii="仿宋_GB2312" w:eastAsia="仿宋_GB2312" w:hAnsi="仿宋" w:hint="eastAsia"/>
          <w:sz w:val="32"/>
          <w:szCs w:val="36"/>
        </w:rPr>
        <w:t>拨付给我市的</w:t>
      </w:r>
      <w:r w:rsidR="002D1B02">
        <w:rPr>
          <w:rFonts w:ascii="仿宋_GB2312" w:eastAsia="仿宋_GB2312" w:hAnsi="仿宋" w:hint="eastAsia"/>
          <w:sz w:val="32"/>
          <w:szCs w:val="36"/>
        </w:rPr>
        <w:t>城市公交车成品油价格</w:t>
      </w:r>
      <w:r w:rsidR="006B1F2F">
        <w:rPr>
          <w:rFonts w:ascii="仿宋_GB2312" w:eastAsia="仿宋_GB2312" w:hAnsi="仿宋" w:hint="eastAsia"/>
          <w:sz w:val="32"/>
          <w:szCs w:val="36"/>
        </w:rPr>
        <w:t>补助</w:t>
      </w:r>
      <w:r w:rsidRPr="00624CD1">
        <w:rPr>
          <w:rFonts w:ascii="仿宋_GB2312" w:eastAsia="仿宋_GB2312" w:hAnsi="仿宋" w:hint="eastAsia"/>
          <w:sz w:val="32"/>
          <w:szCs w:val="36"/>
        </w:rPr>
        <w:t>资金</w:t>
      </w:r>
      <w:r w:rsidR="006B1F2F">
        <w:rPr>
          <w:rFonts w:ascii="仿宋_GB2312" w:eastAsia="仿宋_GB2312" w:hAnsi="仿宋" w:hint="eastAsia"/>
          <w:sz w:val="32"/>
          <w:szCs w:val="36"/>
        </w:rPr>
        <w:t>（20%涨价补助）</w:t>
      </w:r>
      <w:r w:rsidRPr="00624CD1">
        <w:rPr>
          <w:rFonts w:ascii="仿宋_GB2312" w:eastAsia="仿宋_GB2312" w:hAnsi="仿宋" w:hint="eastAsia"/>
          <w:sz w:val="32"/>
          <w:szCs w:val="36"/>
        </w:rPr>
        <w:t>为</w:t>
      </w:r>
      <w:r w:rsidR="006B1F2F">
        <w:rPr>
          <w:rFonts w:ascii="仿宋_GB2312" w:eastAsia="仿宋_GB2312" w:hAnsi="仿宋" w:hint="eastAsia"/>
          <w:sz w:val="32"/>
          <w:szCs w:val="36"/>
        </w:rPr>
        <w:t>433.5247万元</w:t>
      </w:r>
      <w:r w:rsidR="00E81019">
        <w:rPr>
          <w:rFonts w:ascii="仿宋_GB2312" w:eastAsia="仿宋_GB2312" w:hAnsi="仿宋" w:hint="eastAsia"/>
          <w:sz w:val="32"/>
          <w:szCs w:val="36"/>
        </w:rPr>
        <w:t>。</w:t>
      </w:r>
    </w:p>
    <w:p w:rsidR="005E4099" w:rsidRDefault="000E24FD" w:rsidP="005E4099">
      <w:pPr>
        <w:pStyle w:val="New"/>
        <w:spacing w:line="600" w:lineRule="exact"/>
        <w:ind w:firstLineChars="200" w:firstLine="640"/>
        <w:rPr>
          <w:rFonts w:ascii="仿宋_GB2312" w:eastAsia="仿宋_GB2312" w:hAnsi="仿宋"/>
          <w:sz w:val="32"/>
          <w:szCs w:val="36"/>
        </w:rPr>
      </w:pPr>
      <w:r>
        <w:rPr>
          <w:rFonts w:ascii="仿宋_GB2312" w:eastAsia="仿宋_GB2312" w:hAnsi="仿宋" w:hint="eastAsia"/>
          <w:sz w:val="32"/>
          <w:szCs w:val="36"/>
        </w:rPr>
        <w:t>根据上述文件</w:t>
      </w:r>
      <w:r w:rsidR="005E4099">
        <w:rPr>
          <w:rFonts w:ascii="仿宋_GB2312" w:eastAsia="仿宋_GB2312" w:hAnsi="仿宋" w:hint="eastAsia"/>
          <w:sz w:val="32"/>
          <w:szCs w:val="36"/>
        </w:rPr>
        <w:t>精神</w:t>
      </w:r>
      <w:r w:rsidR="005E4099" w:rsidRPr="00624CD1">
        <w:rPr>
          <w:rFonts w:ascii="仿宋_GB2312" w:eastAsia="仿宋_GB2312" w:hAnsi="仿宋" w:hint="eastAsia"/>
          <w:sz w:val="32"/>
          <w:szCs w:val="36"/>
        </w:rPr>
        <w:t>，制定</w:t>
      </w:r>
      <w:r w:rsidR="005E4099">
        <w:rPr>
          <w:rFonts w:ascii="仿宋_GB2312" w:eastAsia="仿宋_GB2312" w:hAnsi="仿宋" w:hint="eastAsia"/>
          <w:sz w:val="32"/>
          <w:szCs w:val="36"/>
        </w:rPr>
        <w:t>湛江市</w:t>
      </w:r>
      <w:r w:rsidR="005E4099" w:rsidRPr="00624CD1">
        <w:rPr>
          <w:rFonts w:ascii="仿宋_GB2312" w:eastAsia="仿宋_GB2312" w:hAnsi="仿宋" w:hint="eastAsia"/>
          <w:sz w:val="32"/>
          <w:szCs w:val="36"/>
        </w:rPr>
        <w:t>201</w:t>
      </w:r>
      <w:r w:rsidR="00952411">
        <w:rPr>
          <w:rFonts w:ascii="仿宋_GB2312" w:eastAsia="仿宋_GB2312" w:hAnsi="仿宋" w:hint="eastAsia"/>
          <w:sz w:val="32"/>
          <w:szCs w:val="36"/>
        </w:rPr>
        <w:t>8</w:t>
      </w:r>
      <w:r w:rsidR="005E4099" w:rsidRPr="00624CD1">
        <w:rPr>
          <w:rFonts w:ascii="仿宋_GB2312" w:eastAsia="仿宋_GB2312" w:hAnsi="仿宋" w:hint="eastAsia"/>
          <w:sz w:val="32"/>
          <w:szCs w:val="36"/>
        </w:rPr>
        <w:t>年</w:t>
      </w:r>
      <w:r w:rsidR="005E4099">
        <w:rPr>
          <w:rFonts w:ascii="仿宋_GB2312" w:eastAsia="仿宋_GB2312" w:hAnsi="仿宋" w:hint="eastAsia"/>
          <w:sz w:val="32"/>
          <w:szCs w:val="36"/>
        </w:rPr>
        <w:t>度城市</w:t>
      </w:r>
      <w:r w:rsidR="00952411">
        <w:rPr>
          <w:rFonts w:ascii="仿宋_GB2312" w:eastAsia="仿宋_GB2312" w:hAnsi="仿宋" w:hint="eastAsia"/>
          <w:sz w:val="32"/>
          <w:szCs w:val="36"/>
        </w:rPr>
        <w:t>公交车</w:t>
      </w:r>
      <w:r w:rsidR="005E4099">
        <w:rPr>
          <w:rFonts w:ascii="仿宋_GB2312" w:eastAsia="仿宋_GB2312" w:hAnsi="仿宋" w:hint="eastAsia"/>
          <w:sz w:val="32"/>
          <w:szCs w:val="36"/>
        </w:rPr>
        <w:t>中央财政成品油价格补助资金</w:t>
      </w:r>
      <w:r w:rsidR="00952411">
        <w:rPr>
          <w:rFonts w:ascii="仿宋_GB2312" w:eastAsia="仿宋_GB2312" w:hAnsi="仿宋" w:hint="eastAsia"/>
          <w:sz w:val="32"/>
          <w:szCs w:val="36"/>
        </w:rPr>
        <w:t>（</w:t>
      </w:r>
      <w:r w:rsidR="006B1F2F" w:rsidRPr="006B1F2F">
        <w:rPr>
          <w:rFonts w:ascii="仿宋_GB2312" w:eastAsia="仿宋_GB2312" w:hAnsi="宋体" w:hint="eastAsia"/>
          <w:sz w:val="32"/>
          <w:szCs w:val="32"/>
        </w:rPr>
        <w:t>20%涨价补助</w:t>
      </w:r>
      <w:r w:rsidR="00952411">
        <w:rPr>
          <w:rFonts w:ascii="仿宋_GB2312" w:eastAsia="仿宋_GB2312" w:hAnsi="仿宋" w:hint="eastAsia"/>
          <w:sz w:val="32"/>
          <w:szCs w:val="36"/>
        </w:rPr>
        <w:t>）</w:t>
      </w:r>
      <w:r w:rsidR="005E4099">
        <w:rPr>
          <w:rFonts w:ascii="仿宋_GB2312" w:eastAsia="仿宋_GB2312" w:hAnsi="仿宋" w:hint="eastAsia"/>
          <w:sz w:val="32"/>
          <w:szCs w:val="36"/>
        </w:rPr>
        <w:t>分配</w:t>
      </w:r>
      <w:r w:rsidR="005E4099" w:rsidRPr="00624CD1">
        <w:rPr>
          <w:rFonts w:ascii="仿宋_GB2312" w:eastAsia="仿宋_GB2312" w:hAnsi="仿宋" w:hint="eastAsia"/>
          <w:sz w:val="32"/>
          <w:szCs w:val="36"/>
        </w:rPr>
        <w:t>方案如下：</w:t>
      </w:r>
    </w:p>
    <w:p w:rsidR="00B7192C" w:rsidRPr="00B7192C" w:rsidRDefault="00B7192C" w:rsidP="005E4099">
      <w:pPr>
        <w:pStyle w:val="New"/>
        <w:spacing w:line="600" w:lineRule="exact"/>
        <w:ind w:firstLineChars="200" w:firstLine="640"/>
        <w:rPr>
          <w:rFonts w:ascii="黑体" w:eastAsia="黑体" w:hAnsi="仿宋"/>
          <w:bCs/>
          <w:sz w:val="32"/>
          <w:szCs w:val="36"/>
        </w:rPr>
      </w:pPr>
      <w:r w:rsidRPr="00B7192C">
        <w:rPr>
          <w:rFonts w:ascii="黑体" w:eastAsia="黑体" w:hAnsi="仿宋" w:hint="eastAsia"/>
          <w:bCs/>
          <w:sz w:val="32"/>
          <w:szCs w:val="36"/>
        </w:rPr>
        <w:t>一、分配原则</w:t>
      </w:r>
    </w:p>
    <w:p w:rsidR="00952411" w:rsidRPr="00550441" w:rsidRDefault="00952411" w:rsidP="00952411">
      <w:pPr>
        <w:pStyle w:val="New"/>
        <w:spacing w:line="600" w:lineRule="exact"/>
        <w:ind w:firstLineChars="200" w:firstLine="640"/>
        <w:rPr>
          <w:rFonts w:ascii="仿宋_GB2312" w:eastAsia="仿宋_GB2312" w:hAnsi="宋体"/>
          <w:sz w:val="32"/>
          <w:szCs w:val="32"/>
        </w:rPr>
      </w:pPr>
      <w:r w:rsidRPr="00550441">
        <w:rPr>
          <w:rFonts w:ascii="仿宋_GB2312" w:eastAsia="仿宋_GB2312" w:hAnsi="宋体" w:hint="eastAsia"/>
          <w:sz w:val="32"/>
          <w:szCs w:val="32"/>
        </w:rPr>
        <w:t>根据《广东省城市公交车成品油价格补助和新能源公交车运营补助实施细则》（粤交运〔2017〕332号</w:t>
      </w:r>
      <w:r>
        <w:rPr>
          <w:rFonts w:ascii="仿宋_GB2312" w:eastAsia="仿宋_GB2312" w:hAnsi="宋体" w:hint="eastAsia"/>
          <w:sz w:val="32"/>
          <w:szCs w:val="32"/>
        </w:rPr>
        <w:t>，以下简称《细则》</w:t>
      </w:r>
      <w:r w:rsidRPr="00550441">
        <w:rPr>
          <w:rFonts w:ascii="仿宋_GB2312" w:eastAsia="仿宋_GB2312" w:hAnsi="宋体" w:hint="eastAsia"/>
          <w:sz w:val="32"/>
          <w:szCs w:val="32"/>
        </w:rPr>
        <w:t>）第三条</w:t>
      </w:r>
      <w:r>
        <w:rPr>
          <w:rFonts w:ascii="仿宋_GB2312" w:eastAsia="仿宋_GB2312" w:hAnsi="宋体" w:hint="eastAsia"/>
          <w:sz w:val="32"/>
          <w:szCs w:val="32"/>
        </w:rPr>
        <w:t>规定，</w:t>
      </w:r>
      <w:r w:rsidRPr="00550441">
        <w:rPr>
          <w:rFonts w:ascii="仿宋_GB2312" w:eastAsia="仿宋_GB2312" w:hAnsi="宋体" w:hint="eastAsia"/>
          <w:sz w:val="32"/>
          <w:szCs w:val="32"/>
        </w:rPr>
        <w:t>城市公交车成品油价格补助和新能源公交车运营补助资金的申报、发放和管理遵循科学规范、公开透明、统筹兼顾、奖惩结合的原则。鼓励市（县）政府通过增加财政补助、调整运价等方式保障公共交通行业健康稳定发展</w:t>
      </w:r>
      <w:r>
        <w:rPr>
          <w:rFonts w:ascii="仿宋_GB2312" w:eastAsia="仿宋_GB2312" w:hAnsi="宋体" w:hint="eastAsia"/>
          <w:sz w:val="32"/>
          <w:szCs w:val="32"/>
        </w:rPr>
        <w:t>。</w:t>
      </w:r>
    </w:p>
    <w:p w:rsidR="005E4099" w:rsidRPr="00624CD1" w:rsidRDefault="00B7192C" w:rsidP="00B7192C">
      <w:pPr>
        <w:pStyle w:val="New"/>
        <w:spacing w:line="600" w:lineRule="exact"/>
        <w:ind w:firstLineChars="200" w:firstLine="640"/>
        <w:rPr>
          <w:rFonts w:ascii="黑体" w:eastAsia="黑体" w:hAnsi="仿宋"/>
          <w:bCs/>
          <w:sz w:val="32"/>
          <w:szCs w:val="36"/>
        </w:rPr>
      </w:pPr>
      <w:r>
        <w:rPr>
          <w:rFonts w:ascii="黑体" w:eastAsia="黑体" w:hAnsi="仿宋" w:hint="eastAsia"/>
          <w:bCs/>
          <w:sz w:val="32"/>
          <w:szCs w:val="36"/>
        </w:rPr>
        <w:t>二</w:t>
      </w:r>
      <w:r w:rsidR="005E4099" w:rsidRPr="00624CD1">
        <w:rPr>
          <w:rFonts w:ascii="黑体" w:eastAsia="黑体" w:hAnsi="仿宋" w:hint="eastAsia"/>
          <w:bCs/>
          <w:sz w:val="32"/>
          <w:szCs w:val="36"/>
        </w:rPr>
        <w:t>、方案说明</w:t>
      </w:r>
    </w:p>
    <w:p w:rsidR="00952411" w:rsidRPr="00C556FB" w:rsidRDefault="00952411" w:rsidP="00952411">
      <w:pPr>
        <w:pStyle w:val="New"/>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（一）</w:t>
      </w:r>
      <w:r w:rsidRPr="00C556FB">
        <w:rPr>
          <w:rFonts w:ascii="仿宋_GB2312" w:eastAsia="仿宋_GB2312" w:hAnsi="宋体" w:hint="eastAsia"/>
          <w:sz w:val="32"/>
          <w:szCs w:val="32"/>
        </w:rPr>
        <w:t>补助资金的年份。此次发放的</w:t>
      </w:r>
      <w:r>
        <w:rPr>
          <w:rFonts w:ascii="仿宋_GB2312" w:eastAsia="仿宋_GB2312" w:hAnsi="宋体" w:hint="eastAsia"/>
          <w:sz w:val="32"/>
          <w:szCs w:val="32"/>
        </w:rPr>
        <w:t>城市公交车成品油价格补助资金</w:t>
      </w:r>
      <w:r w:rsidRPr="00C556FB">
        <w:rPr>
          <w:rFonts w:ascii="仿宋_GB2312" w:eastAsia="仿宋_GB2312" w:hAnsi="宋体" w:hint="eastAsia"/>
          <w:sz w:val="32"/>
          <w:szCs w:val="32"/>
        </w:rPr>
        <w:t>为201</w:t>
      </w:r>
      <w:r>
        <w:rPr>
          <w:rFonts w:ascii="仿宋_GB2312" w:eastAsia="仿宋_GB2312" w:hAnsi="宋体" w:hint="eastAsia"/>
          <w:sz w:val="32"/>
          <w:szCs w:val="32"/>
        </w:rPr>
        <w:t>8</w:t>
      </w:r>
      <w:r w:rsidRPr="00C556FB">
        <w:rPr>
          <w:rFonts w:ascii="仿宋_GB2312" w:eastAsia="仿宋_GB2312" w:hAnsi="宋体" w:hint="eastAsia"/>
          <w:sz w:val="32"/>
          <w:szCs w:val="32"/>
        </w:rPr>
        <w:t>年度的补助资金。</w:t>
      </w:r>
    </w:p>
    <w:p w:rsidR="00925A55" w:rsidRDefault="00925A55" w:rsidP="00925A55">
      <w:pPr>
        <w:pStyle w:val="New"/>
        <w:spacing w:line="600" w:lineRule="exact"/>
        <w:ind w:firstLineChars="200" w:firstLine="640"/>
        <w:rPr>
          <w:rFonts w:ascii="仿宋_GB2312" w:eastAsia="仿宋_GB2312" w:hAnsi="仿宋"/>
          <w:sz w:val="32"/>
          <w:szCs w:val="36"/>
        </w:rPr>
      </w:pPr>
      <w:r w:rsidRPr="00624CD1">
        <w:rPr>
          <w:rFonts w:ascii="仿宋_GB2312" w:eastAsia="仿宋_GB2312" w:hAnsi="仿宋" w:hint="eastAsia"/>
          <w:sz w:val="32"/>
          <w:szCs w:val="36"/>
        </w:rPr>
        <w:t>（二）补助资金包含的县</w:t>
      </w:r>
      <w:r>
        <w:rPr>
          <w:rFonts w:ascii="仿宋_GB2312" w:eastAsia="仿宋_GB2312" w:hAnsi="仿宋" w:hint="eastAsia"/>
          <w:sz w:val="32"/>
          <w:szCs w:val="36"/>
        </w:rPr>
        <w:t>（市、</w:t>
      </w:r>
      <w:r w:rsidRPr="00624CD1">
        <w:rPr>
          <w:rFonts w:ascii="仿宋_GB2312" w:eastAsia="仿宋_GB2312" w:hAnsi="仿宋" w:hint="eastAsia"/>
          <w:sz w:val="32"/>
          <w:szCs w:val="36"/>
        </w:rPr>
        <w:t>区</w:t>
      </w:r>
      <w:r>
        <w:rPr>
          <w:rFonts w:ascii="仿宋_GB2312" w:eastAsia="仿宋_GB2312" w:hAnsi="仿宋" w:hint="eastAsia"/>
          <w:sz w:val="32"/>
          <w:szCs w:val="36"/>
        </w:rPr>
        <w:t>）。《通知》中湛江市的资金为全市资金，</w:t>
      </w:r>
      <w:r w:rsidRPr="00624CD1">
        <w:rPr>
          <w:rFonts w:ascii="仿宋_GB2312" w:eastAsia="仿宋_GB2312" w:hAnsi="仿宋" w:hint="eastAsia"/>
          <w:sz w:val="32"/>
          <w:szCs w:val="36"/>
        </w:rPr>
        <w:t>含</w:t>
      </w:r>
      <w:r>
        <w:rPr>
          <w:rFonts w:ascii="仿宋_GB2312" w:eastAsia="仿宋_GB2312" w:hAnsi="仿宋" w:hint="eastAsia"/>
          <w:sz w:val="32"/>
          <w:szCs w:val="36"/>
        </w:rPr>
        <w:t>省</w:t>
      </w:r>
      <w:r w:rsidRPr="00624CD1">
        <w:rPr>
          <w:rFonts w:ascii="仿宋_GB2312" w:eastAsia="仿宋_GB2312" w:hAnsi="仿宋" w:hint="eastAsia"/>
          <w:sz w:val="32"/>
          <w:szCs w:val="36"/>
        </w:rPr>
        <w:t>直管县</w:t>
      </w:r>
      <w:r>
        <w:rPr>
          <w:rFonts w:ascii="仿宋_GB2312" w:eastAsia="仿宋_GB2312" w:hAnsi="仿宋" w:hint="eastAsia"/>
          <w:sz w:val="32"/>
          <w:szCs w:val="36"/>
        </w:rPr>
        <w:t>：</w:t>
      </w:r>
      <w:r w:rsidRPr="00624CD1">
        <w:rPr>
          <w:rFonts w:ascii="仿宋_GB2312" w:eastAsia="仿宋_GB2312" w:hAnsi="仿宋" w:hint="eastAsia"/>
          <w:sz w:val="32"/>
          <w:szCs w:val="36"/>
        </w:rPr>
        <w:t>徐闻县、廉江市、雷州市。</w:t>
      </w:r>
    </w:p>
    <w:p w:rsidR="00952411" w:rsidRDefault="00952411" w:rsidP="00952411">
      <w:pPr>
        <w:pStyle w:val="New"/>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（三）</w:t>
      </w:r>
      <w:r w:rsidRPr="00C556FB">
        <w:rPr>
          <w:rFonts w:ascii="仿宋_GB2312" w:eastAsia="仿宋_GB2312" w:hAnsi="宋体" w:hint="eastAsia"/>
          <w:sz w:val="32"/>
          <w:szCs w:val="32"/>
        </w:rPr>
        <w:t>LNG公交车补贴问题。根据</w:t>
      </w:r>
      <w:r w:rsidRPr="00550441">
        <w:rPr>
          <w:rFonts w:ascii="仿宋_GB2312" w:eastAsia="仿宋_GB2312" w:hAnsi="宋体" w:hint="eastAsia"/>
          <w:sz w:val="32"/>
          <w:szCs w:val="32"/>
        </w:rPr>
        <w:t>《细则》</w:t>
      </w:r>
      <w:r w:rsidRPr="00C556FB">
        <w:rPr>
          <w:rFonts w:ascii="仿宋_GB2312" w:eastAsia="仿宋_GB2312" w:hAnsi="宋体" w:hint="eastAsia"/>
          <w:sz w:val="32"/>
          <w:szCs w:val="32"/>
        </w:rPr>
        <w:t>调整后的要求，此批次城市公交车成品油价格补助资金未将LNG公交车纳入补贴范围。</w:t>
      </w:r>
    </w:p>
    <w:p w:rsidR="00952411" w:rsidRDefault="00952411" w:rsidP="00952411">
      <w:pPr>
        <w:spacing w:line="600" w:lineRule="exact"/>
        <w:ind w:firstLineChars="200" w:firstLine="640"/>
        <w:rPr>
          <w:rFonts w:ascii="仿宋_GB2312"/>
          <w:szCs w:val="32"/>
        </w:rPr>
      </w:pPr>
      <w:r>
        <w:rPr>
          <w:rFonts w:ascii="仿宋_GB2312" w:hint="eastAsia"/>
          <w:szCs w:val="32"/>
        </w:rPr>
        <w:t>（四）根据《细则》第二条规定：城市公交车成品油价格补助对象包括以汽油或柴油为单一燃料的公交车辆以及油气混合的双燃料公交车辆（以下合称燃油公交车），其中油气混合的双燃料公交车只对实际用油消耗进行补助。</w:t>
      </w:r>
    </w:p>
    <w:p w:rsidR="00952411" w:rsidRDefault="00952411" w:rsidP="00952411">
      <w:pPr>
        <w:spacing w:line="600" w:lineRule="exact"/>
        <w:ind w:firstLineChars="200" w:firstLine="640"/>
        <w:rPr>
          <w:rFonts w:ascii="仿宋_GB2312"/>
          <w:szCs w:val="32"/>
        </w:rPr>
      </w:pPr>
      <w:r>
        <w:rPr>
          <w:rFonts w:ascii="仿宋_GB2312" w:hint="eastAsia"/>
          <w:szCs w:val="32"/>
        </w:rPr>
        <w:t>（五）</w:t>
      </w:r>
      <w:r w:rsidRPr="00433E05">
        <w:rPr>
          <w:rFonts w:ascii="仿宋_GB2312" w:hint="eastAsia"/>
          <w:szCs w:val="32"/>
        </w:rPr>
        <w:t>根据</w:t>
      </w:r>
      <w:r w:rsidR="00893DD7">
        <w:rPr>
          <w:rFonts w:ascii="仿宋_GB2312" w:hAnsi="宋体" w:hint="eastAsia"/>
          <w:szCs w:val="32"/>
        </w:rPr>
        <w:t>省交通运输厅的指示要求</w:t>
      </w:r>
      <w:r w:rsidR="00893DD7">
        <w:rPr>
          <w:rFonts w:ascii="仿宋_GB2312" w:hint="eastAsia"/>
          <w:szCs w:val="32"/>
        </w:rPr>
        <w:t>，</w:t>
      </w:r>
      <w:r>
        <w:rPr>
          <w:rFonts w:ascii="仿宋_GB2312" w:hint="eastAsia"/>
          <w:szCs w:val="32"/>
        </w:rPr>
        <w:t>我市2018年度的</w:t>
      </w:r>
      <w:r w:rsidR="00893DD7">
        <w:rPr>
          <w:rFonts w:ascii="仿宋_GB2312" w:hint="eastAsia"/>
          <w:szCs w:val="32"/>
        </w:rPr>
        <w:t>公交车里程数据均由公交企业的GPS运营商上传。根据</w:t>
      </w:r>
      <w:r w:rsidR="00893DD7" w:rsidRPr="00550441">
        <w:rPr>
          <w:rFonts w:ascii="仿宋_GB2312" w:hAnsi="宋体" w:hint="eastAsia"/>
          <w:szCs w:val="32"/>
        </w:rPr>
        <w:t>《细则》</w:t>
      </w:r>
      <w:r w:rsidR="00893DD7" w:rsidRPr="00433E05">
        <w:rPr>
          <w:rFonts w:ascii="仿宋_GB2312" w:hint="eastAsia"/>
          <w:szCs w:val="32"/>
        </w:rPr>
        <w:t>第十条</w:t>
      </w:r>
      <w:r w:rsidR="00893DD7">
        <w:rPr>
          <w:rFonts w:ascii="仿宋_GB2312" w:hint="eastAsia"/>
          <w:szCs w:val="32"/>
        </w:rPr>
        <w:t>第（一）项：</w:t>
      </w:r>
      <w:r w:rsidR="00893DD7" w:rsidRPr="00433E05">
        <w:rPr>
          <w:rFonts w:ascii="仿宋_GB2312" w:hint="eastAsia"/>
          <w:szCs w:val="32"/>
        </w:rPr>
        <w:t>燃油公交车成品油费改税补助资金根据各地市燃油公交车标台数、实际运营里程等指标统筹分配。</w:t>
      </w:r>
      <w:r w:rsidR="00893DD7">
        <w:rPr>
          <w:rFonts w:ascii="仿宋_GB2312" w:hint="eastAsia"/>
          <w:szCs w:val="32"/>
        </w:rPr>
        <w:t>故我市2018年度公交车成品油价格补助资金按照</w:t>
      </w:r>
      <w:r w:rsidR="00893DD7" w:rsidRPr="00433E05">
        <w:rPr>
          <w:rFonts w:ascii="仿宋_GB2312" w:hint="eastAsia"/>
          <w:szCs w:val="32"/>
        </w:rPr>
        <w:t>燃油公交车标台数、实际运营里程</w:t>
      </w:r>
      <w:r w:rsidR="004127EC">
        <w:rPr>
          <w:rFonts w:ascii="仿宋_GB2312" w:hint="eastAsia"/>
          <w:szCs w:val="32"/>
        </w:rPr>
        <w:t>计算</w:t>
      </w:r>
      <w:r w:rsidR="00893DD7" w:rsidRPr="00433E05">
        <w:rPr>
          <w:rFonts w:ascii="仿宋_GB2312" w:hint="eastAsia"/>
          <w:szCs w:val="32"/>
        </w:rPr>
        <w:t>分配</w:t>
      </w:r>
      <w:r w:rsidR="00893DD7">
        <w:rPr>
          <w:rFonts w:ascii="仿宋_GB2312" w:hint="eastAsia"/>
          <w:szCs w:val="32"/>
        </w:rPr>
        <w:t>。</w:t>
      </w:r>
    </w:p>
    <w:p w:rsidR="00006346" w:rsidRPr="00006346" w:rsidRDefault="00006346" w:rsidP="00006346">
      <w:pPr>
        <w:ind w:firstLineChars="200" w:firstLine="640"/>
        <w:jc w:val="left"/>
        <w:rPr>
          <w:rFonts w:ascii="仿宋_GB2312" w:hAnsi="仿宋"/>
          <w:szCs w:val="36"/>
        </w:rPr>
      </w:pPr>
      <w:r w:rsidRPr="00BE5EB6">
        <w:rPr>
          <w:rFonts w:ascii="仿宋_GB2312" w:hAnsi="仿宋" w:hint="eastAsia"/>
          <w:szCs w:val="36"/>
        </w:rPr>
        <w:t>（</w:t>
      </w:r>
      <w:r>
        <w:rPr>
          <w:rFonts w:ascii="仿宋_GB2312" w:hAnsi="仿宋" w:hint="eastAsia"/>
          <w:szCs w:val="36"/>
        </w:rPr>
        <w:t>六</w:t>
      </w:r>
      <w:r w:rsidRPr="00BE5EB6">
        <w:rPr>
          <w:rFonts w:ascii="仿宋_GB2312" w:hAnsi="仿宋" w:hint="eastAsia"/>
          <w:szCs w:val="36"/>
        </w:rPr>
        <w:t>）</w:t>
      </w:r>
      <w:r>
        <w:rPr>
          <w:rFonts w:ascii="仿宋_GB2312" w:hAnsi="仿宋" w:hint="eastAsia"/>
          <w:szCs w:val="36"/>
        </w:rPr>
        <w:t>本方案计算数据以广东省综合运输管理信息平台油补数据为准。</w:t>
      </w:r>
    </w:p>
    <w:p w:rsidR="00952411" w:rsidRPr="00C556FB" w:rsidRDefault="00952411" w:rsidP="00952411">
      <w:pPr>
        <w:pStyle w:val="New"/>
        <w:spacing w:line="600" w:lineRule="exact"/>
        <w:ind w:firstLineChars="200" w:firstLine="640"/>
        <w:rPr>
          <w:rFonts w:ascii="黑体" w:eastAsia="黑体" w:hAnsi="黑体"/>
          <w:bCs/>
          <w:sz w:val="32"/>
          <w:szCs w:val="32"/>
        </w:rPr>
      </w:pPr>
      <w:r>
        <w:rPr>
          <w:rFonts w:ascii="黑体" w:eastAsia="黑体" w:hAnsi="黑体" w:hint="eastAsia"/>
          <w:bCs/>
          <w:sz w:val="32"/>
          <w:szCs w:val="32"/>
        </w:rPr>
        <w:t>三</w:t>
      </w:r>
      <w:r w:rsidRPr="00C556FB">
        <w:rPr>
          <w:rFonts w:ascii="黑体" w:eastAsia="黑体" w:hAnsi="黑体" w:hint="eastAsia"/>
          <w:bCs/>
          <w:sz w:val="32"/>
          <w:szCs w:val="32"/>
        </w:rPr>
        <w:t>、油价补贴的范围和</w:t>
      </w:r>
      <w:r w:rsidR="004127EC">
        <w:rPr>
          <w:rFonts w:ascii="黑体" w:eastAsia="黑体" w:hAnsi="黑体" w:hint="eastAsia"/>
          <w:bCs/>
          <w:sz w:val="32"/>
          <w:szCs w:val="32"/>
        </w:rPr>
        <w:t>拨付方式</w:t>
      </w:r>
    </w:p>
    <w:p w:rsidR="00952411" w:rsidRPr="00C556FB" w:rsidRDefault="00952411" w:rsidP="00952411">
      <w:pPr>
        <w:pStyle w:val="New"/>
        <w:spacing w:line="600" w:lineRule="exact"/>
        <w:ind w:firstLineChars="200" w:firstLine="640"/>
        <w:rPr>
          <w:rFonts w:ascii="仿宋_GB2312" w:eastAsia="仿宋_GB2312" w:hAnsi="宋体"/>
          <w:bCs/>
          <w:sz w:val="32"/>
          <w:szCs w:val="32"/>
        </w:rPr>
      </w:pPr>
      <w:r w:rsidRPr="00C556FB">
        <w:rPr>
          <w:rFonts w:ascii="仿宋_GB2312" w:eastAsia="仿宋_GB2312" w:hAnsi="宋体" w:hint="eastAsia"/>
          <w:bCs/>
          <w:sz w:val="32"/>
          <w:szCs w:val="32"/>
        </w:rPr>
        <w:t>本方案补贴的对象是核定为</w:t>
      </w:r>
      <w:r w:rsidR="00A93430">
        <w:rPr>
          <w:rFonts w:ascii="仿宋_GB2312" w:eastAsia="仿宋_GB2312" w:hAnsi="宋体" w:hint="eastAsia"/>
          <w:bCs/>
          <w:sz w:val="32"/>
          <w:szCs w:val="32"/>
        </w:rPr>
        <w:t>2018年度</w:t>
      </w:r>
      <w:r w:rsidRPr="00C556FB">
        <w:rPr>
          <w:rFonts w:ascii="仿宋_GB2312" w:eastAsia="仿宋_GB2312" w:hAnsi="宋体" w:hint="eastAsia"/>
          <w:bCs/>
          <w:sz w:val="32"/>
          <w:szCs w:val="32"/>
        </w:rPr>
        <w:t>合法营运的公交车，</w:t>
      </w:r>
      <w:r w:rsidR="004127EC">
        <w:rPr>
          <w:rFonts w:ascii="仿宋_GB2312" w:eastAsia="仿宋_GB2312" w:hAnsi="宋体" w:hint="eastAsia"/>
          <w:bCs/>
          <w:sz w:val="32"/>
          <w:szCs w:val="32"/>
        </w:rPr>
        <w:t>城区</w:t>
      </w:r>
      <w:r w:rsidRPr="00C556FB">
        <w:rPr>
          <w:rFonts w:ascii="仿宋_GB2312" w:eastAsia="仿宋_GB2312" w:hAnsi="宋体" w:hint="eastAsia"/>
          <w:bCs/>
          <w:sz w:val="32"/>
          <w:szCs w:val="32"/>
        </w:rPr>
        <w:t>公交车</w:t>
      </w:r>
      <w:r w:rsidR="004127EC">
        <w:rPr>
          <w:rFonts w:ascii="仿宋_GB2312" w:eastAsia="仿宋_GB2312" w:hAnsi="宋体" w:hint="eastAsia"/>
          <w:bCs/>
          <w:sz w:val="32"/>
          <w:szCs w:val="32"/>
        </w:rPr>
        <w:t>补助资金</w:t>
      </w:r>
      <w:r w:rsidRPr="00C556FB">
        <w:rPr>
          <w:rFonts w:ascii="仿宋_GB2312" w:eastAsia="仿宋_GB2312" w:hAnsi="宋体" w:hint="eastAsia"/>
          <w:bCs/>
          <w:sz w:val="32"/>
          <w:szCs w:val="32"/>
        </w:rPr>
        <w:t>由市财政局拨付市公共交通集团有限公司再由</w:t>
      </w:r>
      <w:r>
        <w:rPr>
          <w:rFonts w:ascii="仿宋_GB2312" w:eastAsia="仿宋_GB2312" w:hAnsi="宋体" w:hint="eastAsia"/>
          <w:bCs/>
          <w:sz w:val="32"/>
          <w:szCs w:val="32"/>
        </w:rPr>
        <w:t>企业</w:t>
      </w:r>
      <w:r w:rsidRPr="00C556FB">
        <w:rPr>
          <w:rFonts w:ascii="仿宋_GB2312" w:eastAsia="仿宋_GB2312" w:hAnsi="宋体" w:hint="eastAsia"/>
          <w:bCs/>
          <w:sz w:val="32"/>
          <w:szCs w:val="32"/>
        </w:rPr>
        <w:t>按要求进行分配发放。县（市</w:t>
      </w:r>
      <w:r w:rsidR="004127EC">
        <w:rPr>
          <w:rFonts w:ascii="仿宋_GB2312" w:eastAsia="仿宋_GB2312" w:hAnsi="宋体" w:hint="eastAsia"/>
          <w:bCs/>
          <w:sz w:val="32"/>
          <w:szCs w:val="32"/>
        </w:rPr>
        <w:t>、区</w:t>
      </w:r>
      <w:r w:rsidRPr="00C556FB">
        <w:rPr>
          <w:rFonts w:ascii="仿宋_GB2312" w:eastAsia="仿宋_GB2312" w:hAnsi="宋体" w:hint="eastAsia"/>
          <w:bCs/>
          <w:sz w:val="32"/>
          <w:szCs w:val="32"/>
        </w:rPr>
        <w:t>）公交车</w:t>
      </w:r>
      <w:r w:rsidR="004127EC">
        <w:rPr>
          <w:rFonts w:ascii="仿宋_GB2312" w:eastAsia="仿宋_GB2312" w:hAnsi="宋体" w:hint="eastAsia"/>
          <w:bCs/>
          <w:sz w:val="32"/>
          <w:szCs w:val="32"/>
        </w:rPr>
        <w:t>补助资金</w:t>
      </w:r>
      <w:r w:rsidRPr="00C556FB">
        <w:rPr>
          <w:rFonts w:ascii="仿宋_GB2312" w:eastAsia="仿宋_GB2312" w:hAnsi="宋体" w:hint="eastAsia"/>
          <w:bCs/>
          <w:sz w:val="32"/>
          <w:szCs w:val="32"/>
        </w:rPr>
        <w:t>由市财政局下拨到县（市</w:t>
      </w:r>
      <w:r w:rsidR="004127EC">
        <w:rPr>
          <w:rFonts w:ascii="仿宋_GB2312" w:eastAsia="仿宋_GB2312" w:hAnsi="宋体" w:hint="eastAsia"/>
          <w:bCs/>
          <w:sz w:val="32"/>
          <w:szCs w:val="32"/>
        </w:rPr>
        <w:t>、区</w:t>
      </w:r>
      <w:r w:rsidRPr="00C556FB">
        <w:rPr>
          <w:rFonts w:ascii="仿宋_GB2312" w:eastAsia="仿宋_GB2312" w:hAnsi="宋体" w:hint="eastAsia"/>
          <w:bCs/>
          <w:sz w:val="32"/>
          <w:szCs w:val="32"/>
        </w:rPr>
        <w:t>）财政局再拨给企业发放（具体分配金额详见附件）。</w:t>
      </w:r>
    </w:p>
    <w:p w:rsidR="00952411" w:rsidRPr="00C556FB" w:rsidRDefault="00952411" w:rsidP="00952411">
      <w:pPr>
        <w:pStyle w:val="New"/>
        <w:spacing w:line="600" w:lineRule="exact"/>
        <w:ind w:firstLineChars="200" w:firstLine="640"/>
        <w:rPr>
          <w:rFonts w:ascii="黑体" w:eastAsia="黑体" w:hAnsi="黑体"/>
          <w:bCs/>
          <w:sz w:val="32"/>
          <w:szCs w:val="32"/>
        </w:rPr>
      </w:pPr>
      <w:r>
        <w:rPr>
          <w:rFonts w:ascii="黑体" w:eastAsia="黑体" w:hAnsi="黑体" w:hint="eastAsia"/>
          <w:bCs/>
          <w:sz w:val="32"/>
          <w:szCs w:val="32"/>
        </w:rPr>
        <w:t>四</w:t>
      </w:r>
      <w:r w:rsidRPr="00C556FB">
        <w:rPr>
          <w:rFonts w:ascii="黑体" w:eastAsia="黑体" w:hAnsi="黑体" w:hint="eastAsia"/>
          <w:bCs/>
          <w:sz w:val="32"/>
          <w:szCs w:val="32"/>
        </w:rPr>
        <w:t>、油价补贴资金发放的要求</w:t>
      </w:r>
    </w:p>
    <w:p w:rsidR="00952411" w:rsidRPr="00C556FB" w:rsidRDefault="00952411" w:rsidP="00952411">
      <w:pPr>
        <w:pStyle w:val="New"/>
        <w:spacing w:line="600" w:lineRule="exact"/>
        <w:ind w:firstLineChars="200" w:firstLine="640"/>
        <w:rPr>
          <w:rFonts w:ascii="仿宋_GB2312" w:eastAsia="仿宋_GB2312" w:hAnsi="宋体"/>
          <w:bCs/>
          <w:sz w:val="32"/>
          <w:szCs w:val="32"/>
        </w:rPr>
      </w:pPr>
      <w:r w:rsidRPr="00C556FB">
        <w:rPr>
          <w:rFonts w:ascii="仿宋_GB2312" w:eastAsia="仿宋_GB2312" w:hAnsi="宋体" w:hint="eastAsia"/>
          <w:bCs/>
          <w:sz w:val="32"/>
          <w:szCs w:val="32"/>
        </w:rPr>
        <w:lastRenderedPageBreak/>
        <w:t>各有关单位要认真做好宣传发动工作，并组织专门人员进行调查和审核统计，数据要准确真实</w:t>
      </w:r>
      <w:r w:rsidRPr="002F71BA">
        <w:rPr>
          <w:rFonts w:ascii="仿宋_GB2312" w:eastAsia="仿宋_GB2312" w:hAnsi="宋体" w:hint="eastAsia"/>
          <w:bCs/>
          <w:sz w:val="32"/>
          <w:szCs w:val="32"/>
        </w:rPr>
        <w:t>，各</w:t>
      </w:r>
      <w:r>
        <w:rPr>
          <w:rFonts w:ascii="仿宋_GB2312" w:eastAsia="仿宋_GB2312" w:hAnsi="宋体" w:hint="eastAsia"/>
          <w:bCs/>
          <w:sz w:val="32"/>
          <w:szCs w:val="32"/>
        </w:rPr>
        <w:t>公交</w:t>
      </w:r>
      <w:r w:rsidRPr="002F71BA">
        <w:rPr>
          <w:rFonts w:ascii="仿宋_GB2312" w:eastAsia="仿宋_GB2312" w:hAnsi="宋体" w:hint="eastAsia"/>
          <w:bCs/>
          <w:sz w:val="32"/>
          <w:szCs w:val="32"/>
        </w:rPr>
        <w:t>企业按照要求认真填报，各</w:t>
      </w:r>
      <w:r>
        <w:rPr>
          <w:rFonts w:ascii="仿宋_GB2312" w:eastAsia="仿宋_GB2312" w:hAnsi="宋体" w:hint="eastAsia"/>
          <w:bCs/>
          <w:sz w:val="32"/>
          <w:szCs w:val="32"/>
        </w:rPr>
        <w:t>县（市、区）交通运输局、城区公交管理中心</w:t>
      </w:r>
      <w:r w:rsidRPr="002F71BA">
        <w:rPr>
          <w:rFonts w:ascii="仿宋_GB2312" w:eastAsia="仿宋_GB2312" w:hAnsi="宋体" w:hint="eastAsia"/>
          <w:bCs/>
          <w:sz w:val="32"/>
          <w:szCs w:val="32"/>
        </w:rPr>
        <w:t>认真组织审核把关。补贴资金拨付各企业后，企业要及时制表分配给经营者并将此表公示，公示</w:t>
      </w:r>
      <w:r>
        <w:rPr>
          <w:rFonts w:ascii="仿宋_GB2312" w:eastAsia="仿宋_GB2312" w:hAnsi="宋体" w:hint="eastAsia"/>
          <w:bCs/>
          <w:sz w:val="32"/>
          <w:szCs w:val="32"/>
        </w:rPr>
        <w:t>无异议</w:t>
      </w:r>
      <w:r w:rsidRPr="002F71BA">
        <w:rPr>
          <w:rFonts w:ascii="仿宋_GB2312" w:eastAsia="仿宋_GB2312" w:hAnsi="宋体" w:hint="eastAsia"/>
          <w:bCs/>
          <w:sz w:val="32"/>
          <w:szCs w:val="32"/>
        </w:rPr>
        <w:t>后及时兑付到经营者手中（制定油价补贴资金发放表，列明单位名称、补贴行业名称、数量、补贴金额、签领人和联系电话）。发放后及时将发放签领表公示，并复印报辖区交通运输局备案，市公交</w:t>
      </w:r>
      <w:r>
        <w:rPr>
          <w:rFonts w:ascii="仿宋_GB2312" w:eastAsia="仿宋_GB2312" w:hAnsi="宋体" w:hint="eastAsia"/>
          <w:bCs/>
          <w:sz w:val="32"/>
          <w:szCs w:val="32"/>
        </w:rPr>
        <w:t>集团</w:t>
      </w:r>
      <w:r w:rsidRPr="002F71BA">
        <w:rPr>
          <w:rFonts w:ascii="仿宋_GB2312" w:eastAsia="仿宋_GB2312" w:hAnsi="宋体" w:hint="eastAsia"/>
          <w:bCs/>
          <w:sz w:val="32"/>
          <w:szCs w:val="32"/>
        </w:rPr>
        <w:t>公司报城区公共交通管理中心备案。各县（市</w:t>
      </w:r>
      <w:r>
        <w:rPr>
          <w:rFonts w:ascii="仿宋_GB2312" w:eastAsia="仿宋_GB2312" w:hAnsi="宋体" w:hint="eastAsia"/>
          <w:bCs/>
          <w:sz w:val="32"/>
          <w:szCs w:val="32"/>
        </w:rPr>
        <w:t>、区</w:t>
      </w:r>
      <w:r w:rsidRPr="002F71BA">
        <w:rPr>
          <w:rFonts w:ascii="仿宋_GB2312" w:eastAsia="仿宋_GB2312" w:hAnsi="宋体" w:hint="eastAsia"/>
          <w:bCs/>
          <w:sz w:val="32"/>
          <w:szCs w:val="32"/>
        </w:rPr>
        <w:t>）交通运输局、城区公共交通管理中心</w:t>
      </w:r>
      <w:r>
        <w:rPr>
          <w:rFonts w:ascii="仿宋_GB2312" w:eastAsia="仿宋_GB2312" w:hAnsi="宋体" w:hint="eastAsia"/>
          <w:bCs/>
          <w:sz w:val="32"/>
          <w:szCs w:val="32"/>
        </w:rPr>
        <w:t>要</w:t>
      </w:r>
      <w:r w:rsidRPr="002F71BA">
        <w:rPr>
          <w:rFonts w:ascii="仿宋_GB2312" w:eastAsia="仿宋_GB2312" w:hAnsi="宋体" w:hint="eastAsia"/>
          <w:bCs/>
          <w:sz w:val="32"/>
          <w:szCs w:val="32"/>
        </w:rPr>
        <w:t>将此批次油补资金发放情况总结及时报</w:t>
      </w:r>
      <w:r>
        <w:rPr>
          <w:rFonts w:ascii="仿宋_GB2312" w:eastAsia="仿宋_GB2312" w:hAnsi="宋体" w:hint="eastAsia"/>
          <w:bCs/>
          <w:sz w:val="32"/>
          <w:szCs w:val="32"/>
        </w:rPr>
        <w:t>市交通运输局</w:t>
      </w:r>
      <w:r w:rsidRPr="002F71BA">
        <w:rPr>
          <w:rFonts w:ascii="仿宋_GB2312" w:eastAsia="仿宋_GB2312" w:hAnsi="宋体" w:hint="eastAsia"/>
          <w:bCs/>
          <w:sz w:val="32"/>
          <w:szCs w:val="32"/>
        </w:rPr>
        <w:t>。</w:t>
      </w:r>
    </w:p>
    <w:p w:rsidR="00952411" w:rsidRPr="00C556FB" w:rsidRDefault="00952411" w:rsidP="00952411">
      <w:pPr>
        <w:pStyle w:val="New"/>
        <w:spacing w:line="600" w:lineRule="exact"/>
        <w:ind w:firstLineChars="200" w:firstLine="640"/>
        <w:rPr>
          <w:rFonts w:ascii="黑体" w:eastAsia="黑体" w:hAnsi="黑体"/>
          <w:bCs/>
          <w:sz w:val="32"/>
          <w:szCs w:val="32"/>
        </w:rPr>
      </w:pPr>
      <w:r>
        <w:rPr>
          <w:rFonts w:ascii="黑体" w:eastAsia="黑体" w:hAnsi="黑体" w:hint="eastAsia"/>
          <w:bCs/>
          <w:sz w:val="32"/>
          <w:szCs w:val="32"/>
        </w:rPr>
        <w:t>五</w:t>
      </w:r>
      <w:r w:rsidRPr="00C556FB">
        <w:rPr>
          <w:rFonts w:ascii="黑体" w:eastAsia="黑体" w:hAnsi="黑体" w:hint="eastAsia"/>
          <w:bCs/>
          <w:sz w:val="32"/>
          <w:szCs w:val="32"/>
        </w:rPr>
        <w:t>、检查监督</w:t>
      </w:r>
    </w:p>
    <w:p w:rsidR="00952411" w:rsidRPr="000B313C" w:rsidRDefault="00952411" w:rsidP="00952411">
      <w:pPr>
        <w:pStyle w:val="New"/>
        <w:spacing w:line="600" w:lineRule="exact"/>
        <w:ind w:firstLineChars="200" w:firstLine="640"/>
        <w:rPr>
          <w:rFonts w:ascii="仿宋_GB2312" w:eastAsia="仿宋_GB2312" w:hAnsi="宋体"/>
          <w:bCs/>
          <w:sz w:val="32"/>
          <w:szCs w:val="32"/>
        </w:rPr>
      </w:pPr>
      <w:r w:rsidRPr="00C556FB">
        <w:rPr>
          <w:rFonts w:ascii="仿宋_GB2312" w:eastAsia="仿宋_GB2312" w:hAnsi="宋体" w:hint="eastAsia"/>
          <w:bCs/>
          <w:sz w:val="32"/>
          <w:szCs w:val="32"/>
        </w:rPr>
        <w:t>各</w:t>
      </w:r>
      <w:r w:rsidR="003417B1">
        <w:rPr>
          <w:rFonts w:ascii="仿宋_GB2312" w:eastAsia="仿宋_GB2312" w:hAnsi="宋体" w:hint="eastAsia"/>
          <w:bCs/>
          <w:sz w:val="32"/>
          <w:szCs w:val="32"/>
        </w:rPr>
        <w:t>单位</w:t>
      </w:r>
      <w:r w:rsidRPr="00C556FB">
        <w:rPr>
          <w:rFonts w:ascii="仿宋_GB2312" w:eastAsia="仿宋_GB2312" w:hAnsi="宋体" w:hint="eastAsia"/>
          <w:bCs/>
          <w:sz w:val="32"/>
          <w:szCs w:val="32"/>
        </w:rPr>
        <w:t>要高度重视这项工作，进行自查自检</w:t>
      </w:r>
      <w:r>
        <w:rPr>
          <w:rFonts w:ascii="仿宋_GB2312" w:eastAsia="仿宋_GB2312" w:hAnsi="宋体" w:hint="eastAsia"/>
          <w:bCs/>
          <w:sz w:val="32"/>
          <w:szCs w:val="32"/>
        </w:rPr>
        <w:t>，</w:t>
      </w:r>
      <w:r w:rsidRPr="00C556FB">
        <w:rPr>
          <w:rFonts w:ascii="仿宋_GB2312" w:eastAsia="仿宋_GB2312" w:hAnsi="宋体" w:hint="eastAsia"/>
          <w:bCs/>
          <w:sz w:val="32"/>
          <w:szCs w:val="32"/>
        </w:rPr>
        <w:t>油价补贴资金不得滞留、挤占、截留和挪用，确保补贴资金专款专用，确保油价补贴惠民政策的落实。</w:t>
      </w:r>
      <w:r>
        <w:rPr>
          <w:rFonts w:ascii="仿宋_GB2312" w:eastAsia="仿宋_GB2312" w:hAnsi="宋体" w:hint="eastAsia"/>
          <w:bCs/>
          <w:sz w:val="32"/>
          <w:szCs w:val="32"/>
        </w:rPr>
        <w:t>市交通运输</w:t>
      </w:r>
      <w:r w:rsidRPr="00C556FB">
        <w:rPr>
          <w:rFonts w:ascii="仿宋_GB2312" w:eastAsia="仿宋_GB2312" w:hAnsi="宋体" w:hint="eastAsia"/>
          <w:bCs/>
          <w:sz w:val="32"/>
          <w:szCs w:val="32"/>
        </w:rPr>
        <w:t>局将组织专门人员并邀请有关监督职能部门进行检查和监督，不定时对补贴对象进行调查和核实，发现违反规定挪用、滞留补贴资金等问题将从严处理。</w:t>
      </w:r>
    </w:p>
    <w:p w:rsidR="00533710" w:rsidRPr="006B1F2F" w:rsidRDefault="00952411" w:rsidP="006B1F2F">
      <w:pPr>
        <w:spacing w:line="560" w:lineRule="exact"/>
        <w:ind w:leftChars="200" w:left="1440" w:hangingChars="250" w:hanging="800"/>
        <w:rPr>
          <w:rFonts w:ascii="仿宋_GB2312"/>
          <w:szCs w:val="32"/>
        </w:rPr>
      </w:pPr>
      <w:r w:rsidRPr="00550441">
        <w:rPr>
          <w:rFonts w:ascii="仿宋_GB2312" w:hAnsi="宋体" w:hint="eastAsia"/>
          <w:szCs w:val="32"/>
        </w:rPr>
        <w:t>附件：</w:t>
      </w:r>
      <w:r w:rsidR="003417B1" w:rsidRPr="003417B1">
        <w:rPr>
          <w:rFonts w:ascii="仿宋_GB2312" w:hAnsi="仿宋" w:hint="eastAsia"/>
          <w:szCs w:val="32"/>
        </w:rPr>
        <w:t>湛江市201</w:t>
      </w:r>
      <w:r w:rsidR="003417B1">
        <w:rPr>
          <w:rFonts w:ascii="仿宋_GB2312" w:hAnsi="仿宋" w:hint="eastAsia"/>
          <w:szCs w:val="32"/>
        </w:rPr>
        <w:t>8</w:t>
      </w:r>
      <w:r w:rsidR="003417B1" w:rsidRPr="003417B1">
        <w:rPr>
          <w:rFonts w:ascii="仿宋_GB2312" w:hAnsi="仿宋" w:hint="eastAsia"/>
          <w:szCs w:val="32"/>
        </w:rPr>
        <w:t>年城市公交车成品油价格补助资金分配表</w:t>
      </w:r>
    </w:p>
    <w:p w:rsidR="003417B1" w:rsidRPr="006B1F2F" w:rsidRDefault="003417B1">
      <w:pPr>
        <w:widowControl/>
        <w:rPr>
          <w:rFonts w:ascii="仿宋_GB2312" w:hAnsi="仿宋"/>
          <w:szCs w:val="32"/>
        </w:rPr>
      </w:pPr>
      <w:r>
        <w:rPr>
          <w:rFonts w:ascii="仿宋_GB2312"/>
          <w:sz w:val="28"/>
          <w:szCs w:val="28"/>
        </w:rPr>
        <w:br w:type="page"/>
      </w:r>
    </w:p>
    <w:p w:rsidR="003417B1" w:rsidRPr="005B1FC8" w:rsidRDefault="003417B1" w:rsidP="003417B1">
      <w:pPr>
        <w:ind w:firstLineChars="44" w:firstLine="141"/>
        <w:rPr>
          <w:rFonts w:ascii="仿宋" w:eastAsia="仿宋" w:hAnsi="仿宋"/>
          <w:szCs w:val="32"/>
        </w:rPr>
      </w:pPr>
      <w:r w:rsidRPr="005B1FC8">
        <w:rPr>
          <w:rFonts w:ascii="仿宋" w:eastAsia="仿宋" w:hAnsi="仿宋" w:hint="eastAsia"/>
          <w:szCs w:val="32"/>
        </w:rPr>
        <w:lastRenderedPageBreak/>
        <w:t>附件:</w:t>
      </w:r>
    </w:p>
    <w:p w:rsidR="003417B1" w:rsidRDefault="003417B1" w:rsidP="003417B1">
      <w:pPr>
        <w:spacing w:line="500" w:lineRule="exact"/>
        <w:ind w:firstLineChars="150" w:firstLine="663"/>
        <w:jc w:val="center"/>
        <w:rPr>
          <w:rFonts w:ascii="宋体" w:eastAsia="宋体" w:hAnsi="宋体"/>
          <w:b/>
          <w:sz w:val="44"/>
          <w:szCs w:val="44"/>
        </w:rPr>
      </w:pPr>
      <w:r w:rsidRPr="00D14C68">
        <w:rPr>
          <w:rFonts w:ascii="宋体" w:eastAsia="宋体" w:hAnsi="宋体" w:hint="eastAsia"/>
          <w:b/>
          <w:sz w:val="44"/>
          <w:szCs w:val="44"/>
        </w:rPr>
        <w:t>湛江市</w:t>
      </w:r>
      <w:r>
        <w:rPr>
          <w:rFonts w:ascii="宋体" w:eastAsia="宋体" w:hAnsi="宋体" w:hint="eastAsia"/>
          <w:b/>
          <w:sz w:val="44"/>
          <w:szCs w:val="44"/>
        </w:rPr>
        <w:t>2018</w:t>
      </w:r>
      <w:r w:rsidRPr="00461498">
        <w:rPr>
          <w:rFonts w:ascii="宋体" w:eastAsia="宋体" w:hAnsi="宋体" w:hint="eastAsia"/>
          <w:b/>
          <w:sz w:val="44"/>
          <w:szCs w:val="44"/>
        </w:rPr>
        <w:t>年城市公交车成品油价格</w:t>
      </w:r>
    </w:p>
    <w:p w:rsidR="003417B1" w:rsidRPr="00D14C68" w:rsidRDefault="003417B1" w:rsidP="003417B1">
      <w:pPr>
        <w:spacing w:line="500" w:lineRule="exact"/>
        <w:ind w:firstLineChars="150" w:firstLine="663"/>
        <w:jc w:val="center"/>
        <w:rPr>
          <w:rFonts w:ascii="宋体" w:eastAsia="宋体" w:hAnsi="宋体"/>
          <w:b/>
          <w:sz w:val="44"/>
          <w:szCs w:val="44"/>
        </w:rPr>
      </w:pPr>
      <w:r w:rsidRPr="00461498">
        <w:rPr>
          <w:rFonts w:ascii="宋体" w:eastAsia="宋体" w:hAnsi="宋体" w:hint="eastAsia"/>
          <w:b/>
          <w:sz w:val="44"/>
          <w:szCs w:val="44"/>
        </w:rPr>
        <w:t>补助资金</w:t>
      </w:r>
      <w:r w:rsidR="006B1F2F">
        <w:rPr>
          <w:rFonts w:ascii="宋体" w:eastAsia="宋体" w:hAnsi="宋体" w:hint="eastAsia"/>
          <w:b/>
          <w:sz w:val="44"/>
          <w:szCs w:val="44"/>
        </w:rPr>
        <w:t>（20%涨价补助）</w:t>
      </w:r>
      <w:r w:rsidRPr="00D14C68">
        <w:rPr>
          <w:rFonts w:ascii="宋体" w:eastAsia="宋体" w:hAnsi="宋体" w:hint="eastAsia"/>
          <w:b/>
          <w:sz w:val="44"/>
          <w:szCs w:val="44"/>
        </w:rPr>
        <w:t>分配表</w:t>
      </w:r>
    </w:p>
    <w:p w:rsidR="003417B1" w:rsidRDefault="003417B1" w:rsidP="003417B1">
      <w:pPr>
        <w:jc w:val="right"/>
        <w:rPr>
          <w:rFonts w:ascii="仿宋_GB2312"/>
          <w:sz w:val="24"/>
        </w:rPr>
      </w:pPr>
    </w:p>
    <w:tbl>
      <w:tblPr>
        <w:tblpPr w:leftFromText="180" w:rightFromText="180" w:vertAnchor="page" w:horzAnchor="margin" w:tblpY="450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1"/>
        <w:gridCol w:w="1559"/>
        <w:gridCol w:w="1417"/>
        <w:gridCol w:w="1560"/>
        <w:gridCol w:w="2693"/>
      </w:tblGrid>
      <w:tr w:rsidR="008D0766" w:rsidRPr="0039098E" w:rsidTr="00D3104E">
        <w:trPr>
          <w:trHeight w:val="450"/>
        </w:trPr>
        <w:tc>
          <w:tcPr>
            <w:tcW w:w="1101" w:type="dxa"/>
            <w:vAlign w:val="center"/>
          </w:tcPr>
          <w:p w:rsidR="008D0766" w:rsidRPr="00B75470" w:rsidRDefault="008D0766" w:rsidP="0097790F">
            <w:pPr>
              <w:jc w:val="center"/>
              <w:rPr>
                <w:rFonts w:ascii="仿宋_GB2312"/>
                <w:sz w:val="20"/>
                <w:szCs w:val="20"/>
              </w:rPr>
            </w:pPr>
            <w:r w:rsidRPr="00B75470">
              <w:rPr>
                <w:rFonts w:ascii="仿宋_GB2312" w:hint="eastAsia"/>
                <w:sz w:val="20"/>
                <w:szCs w:val="20"/>
              </w:rPr>
              <w:t>单位名称</w:t>
            </w:r>
          </w:p>
        </w:tc>
        <w:tc>
          <w:tcPr>
            <w:tcW w:w="1559" w:type="dxa"/>
            <w:vAlign w:val="center"/>
          </w:tcPr>
          <w:p w:rsidR="008D0766" w:rsidRPr="00B75470" w:rsidRDefault="008D0766" w:rsidP="0097790F">
            <w:pPr>
              <w:jc w:val="center"/>
              <w:rPr>
                <w:rFonts w:ascii="仿宋_GB2312"/>
                <w:sz w:val="20"/>
                <w:szCs w:val="20"/>
              </w:rPr>
            </w:pPr>
            <w:r>
              <w:rPr>
                <w:rFonts w:ascii="仿宋_GB2312" w:hint="eastAsia"/>
                <w:sz w:val="20"/>
                <w:szCs w:val="20"/>
              </w:rPr>
              <w:t>燃油</w:t>
            </w:r>
            <w:r w:rsidRPr="00B75470">
              <w:rPr>
                <w:rFonts w:ascii="仿宋_GB2312" w:hint="eastAsia"/>
                <w:sz w:val="20"/>
                <w:szCs w:val="20"/>
              </w:rPr>
              <w:t>公交车（辆）</w:t>
            </w:r>
          </w:p>
        </w:tc>
        <w:tc>
          <w:tcPr>
            <w:tcW w:w="1417" w:type="dxa"/>
            <w:vAlign w:val="center"/>
          </w:tcPr>
          <w:p w:rsidR="008D0766" w:rsidRPr="00B75470" w:rsidRDefault="008D0766" w:rsidP="0097790F">
            <w:pPr>
              <w:jc w:val="center"/>
              <w:rPr>
                <w:rFonts w:ascii="仿宋_GB2312"/>
                <w:sz w:val="20"/>
                <w:szCs w:val="20"/>
              </w:rPr>
            </w:pPr>
            <w:r w:rsidRPr="00B75470">
              <w:rPr>
                <w:rFonts w:ascii="仿宋_GB2312" w:hint="eastAsia"/>
                <w:sz w:val="20"/>
                <w:szCs w:val="20"/>
              </w:rPr>
              <w:t>折标台</w:t>
            </w:r>
          </w:p>
        </w:tc>
        <w:tc>
          <w:tcPr>
            <w:tcW w:w="1560" w:type="dxa"/>
            <w:vAlign w:val="center"/>
          </w:tcPr>
          <w:p w:rsidR="008D0766" w:rsidRPr="00B75470" w:rsidRDefault="008D0766" w:rsidP="009A4542">
            <w:pPr>
              <w:jc w:val="center"/>
              <w:rPr>
                <w:rFonts w:ascii="仿宋_GB2312"/>
                <w:sz w:val="20"/>
                <w:szCs w:val="20"/>
              </w:rPr>
            </w:pPr>
            <w:r w:rsidRPr="00B75470">
              <w:rPr>
                <w:rFonts w:ascii="仿宋_GB2312" w:hint="eastAsia"/>
                <w:sz w:val="20"/>
                <w:szCs w:val="20"/>
              </w:rPr>
              <w:t>实际计算</w:t>
            </w:r>
            <w:r>
              <w:rPr>
                <w:rFonts w:ascii="仿宋_GB2312" w:hint="eastAsia"/>
                <w:sz w:val="20"/>
                <w:szCs w:val="20"/>
              </w:rPr>
              <w:t>值</w:t>
            </w:r>
          </w:p>
        </w:tc>
        <w:tc>
          <w:tcPr>
            <w:tcW w:w="2693" w:type="dxa"/>
            <w:vAlign w:val="center"/>
          </w:tcPr>
          <w:p w:rsidR="008D0766" w:rsidRPr="00B75470" w:rsidRDefault="008D0766" w:rsidP="008D0766">
            <w:pPr>
              <w:jc w:val="center"/>
              <w:rPr>
                <w:rFonts w:ascii="仿宋_GB2312"/>
                <w:sz w:val="20"/>
                <w:szCs w:val="20"/>
              </w:rPr>
            </w:pPr>
            <w:r>
              <w:rPr>
                <w:rFonts w:ascii="仿宋_GB2312" w:hint="eastAsia"/>
                <w:sz w:val="20"/>
                <w:szCs w:val="20"/>
              </w:rPr>
              <w:t>燃油公交车补助资金</w:t>
            </w:r>
          </w:p>
        </w:tc>
      </w:tr>
      <w:tr w:rsidR="008D0766" w:rsidRPr="0039098E" w:rsidTr="00D3104E">
        <w:trPr>
          <w:trHeight w:val="473"/>
        </w:trPr>
        <w:tc>
          <w:tcPr>
            <w:tcW w:w="1101" w:type="dxa"/>
            <w:vAlign w:val="center"/>
          </w:tcPr>
          <w:p w:rsidR="008D0766" w:rsidRPr="00B75470" w:rsidRDefault="008D0766" w:rsidP="00AB287B">
            <w:pPr>
              <w:jc w:val="center"/>
              <w:rPr>
                <w:rFonts w:ascii="仿宋_GB2312"/>
                <w:sz w:val="20"/>
                <w:szCs w:val="20"/>
              </w:rPr>
            </w:pPr>
            <w:r w:rsidRPr="00B75470">
              <w:rPr>
                <w:rFonts w:ascii="仿宋_GB2312" w:hint="eastAsia"/>
                <w:sz w:val="20"/>
                <w:szCs w:val="20"/>
              </w:rPr>
              <w:t>吴川市</w:t>
            </w:r>
          </w:p>
        </w:tc>
        <w:tc>
          <w:tcPr>
            <w:tcW w:w="1559" w:type="dxa"/>
            <w:vAlign w:val="center"/>
          </w:tcPr>
          <w:p w:rsidR="008D0766" w:rsidRPr="0043683E" w:rsidRDefault="008D0766" w:rsidP="00AB287B">
            <w:pPr>
              <w:jc w:val="center"/>
              <w:rPr>
                <w:rFonts w:ascii="仿宋_GB2312"/>
                <w:sz w:val="22"/>
                <w:szCs w:val="22"/>
              </w:rPr>
            </w:pPr>
            <w:r w:rsidRPr="0043683E">
              <w:rPr>
                <w:rFonts w:ascii="仿宋_GB2312" w:hint="eastAsia"/>
                <w:sz w:val="22"/>
                <w:szCs w:val="22"/>
              </w:rPr>
              <w:t>16</w:t>
            </w:r>
          </w:p>
        </w:tc>
        <w:tc>
          <w:tcPr>
            <w:tcW w:w="1417" w:type="dxa"/>
            <w:vAlign w:val="center"/>
          </w:tcPr>
          <w:p w:rsidR="008D0766" w:rsidRPr="0043683E" w:rsidRDefault="008D0766" w:rsidP="00AB287B">
            <w:pPr>
              <w:jc w:val="center"/>
              <w:rPr>
                <w:rFonts w:ascii="仿宋_GB2312"/>
                <w:sz w:val="22"/>
                <w:szCs w:val="22"/>
              </w:rPr>
            </w:pPr>
            <w:r w:rsidRPr="0043683E">
              <w:rPr>
                <w:rFonts w:ascii="仿宋_GB2312" w:hint="eastAsia"/>
                <w:sz w:val="22"/>
                <w:szCs w:val="22"/>
              </w:rPr>
              <w:t>16</w:t>
            </w:r>
          </w:p>
        </w:tc>
        <w:tc>
          <w:tcPr>
            <w:tcW w:w="1560" w:type="dxa"/>
            <w:vAlign w:val="center"/>
          </w:tcPr>
          <w:p w:rsidR="008D0766" w:rsidRPr="0043683E" w:rsidRDefault="008D0766" w:rsidP="00AB287B">
            <w:pPr>
              <w:jc w:val="center"/>
              <w:rPr>
                <w:rFonts w:ascii="仿宋_GB2312"/>
                <w:sz w:val="22"/>
                <w:szCs w:val="22"/>
              </w:rPr>
            </w:pPr>
            <w:r w:rsidRPr="0043683E">
              <w:rPr>
                <w:rFonts w:ascii="仿宋_GB2312" w:hint="eastAsia"/>
                <w:sz w:val="22"/>
                <w:szCs w:val="22"/>
              </w:rPr>
              <w:t>235557.6</w:t>
            </w:r>
          </w:p>
        </w:tc>
        <w:tc>
          <w:tcPr>
            <w:tcW w:w="2693" w:type="dxa"/>
            <w:vAlign w:val="center"/>
          </w:tcPr>
          <w:p w:rsidR="008D0766" w:rsidRPr="0043683E" w:rsidRDefault="008D0766" w:rsidP="00AB287B">
            <w:pPr>
              <w:jc w:val="center"/>
              <w:rPr>
                <w:rFonts w:ascii="仿宋_GB2312"/>
                <w:sz w:val="22"/>
                <w:szCs w:val="22"/>
              </w:rPr>
            </w:pPr>
            <w:r w:rsidRPr="0043683E">
              <w:rPr>
                <w:rFonts w:ascii="仿宋_GB2312" w:hint="eastAsia"/>
                <w:sz w:val="22"/>
                <w:szCs w:val="22"/>
              </w:rPr>
              <w:t>58810.36</w:t>
            </w:r>
          </w:p>
        </w:tc>
      </w:tr>
      <w:tr w:rsidR="008D0766" w:rsidRPr="0039098E" w:rsidTr="00D3104E">
        <w:trPr>
          <w:trHeight w:val="473"/>
        </w:trPr>
        <w:tc>
          <w:tcPr>
            <w:tcW w:w="1101" w:type="dxa"/>
            <w:vAlign w:val="center"/>
          </w:tcPr>
          <w:p w:rsidR="008D0766" w:rsidRPr="00B75470" w:rsidRDefault="008D0766" w:rsidP="00AB287B">
            <w:pPr>
              <w:jc w:val="center"/>
              <w:rPr>
                <w:rFonts w:ascii="仿宋_GB2312"/>
                <w:sz w:val="20"/>
                <w:szCs w:val="20"/>
              </w:rPr>
            </w:pPr>
            <w:r w:rsidRPr="00B75470">
              <w:rPr>
                <w:rFonts w:ascii="仿宋_GB2312" w:hint="eastAsia"/>
                <w:sz w:val="20"/>
                <w:szCs w:val="20"/>
              </w:rPr>
              <w:t>遂溪县</w:t>
            </w:r>
          </w:p>
        </w:tc>
        <w:tc>
          <w:tcPr>
            <w:tcW w:w="1559" w:type="dxa"/>
            <w:vAlign w:val="center"/>
          </w:tcPr>
          <w:p w:rsidR="008D0766" w:rsidRPr="0043683E" w:rsidRDefault="008D0766" w:rsidP="00AB287B">
            <w:pPr>
              <w:jc w:val="center"/>
              <w:rPr>
                <w:rFonts w:ascii="仿宋_GB2312"/>
                <w:sz w:val="22"/>
                <w:szCs w:val="22"/>
              </w:rPr>
            </w:pPr>
            <w:r w:rsidRPr="0043683E">
              <w:rPr>
                <w:rFonts w:ascii="仿宋_GB2312" w:hint="eastAsia"/>
                <w:sz w:val="22"/>
                <w:szCs w:val="22"/>
              </w:rPr>
              <w:t>11</w:t>
            </w:r>
          </w:p>
        </w:tc>
        <w:tc>
          <w:tcPr>
            <w:tcW w:w="1417" w:type="dxa"/>
            <w:vAlign w:val="center"/>
          </w:tcPr>
          <w:p w:rsidR="008D0766" w:rsidRPr="0043683E" w:rsidRDefault="008D0766" w:rsidP="00AB287B">
            <w:pPr>
              <w:jc w:val="center"/>
              <w:rPr>
                <w:rFonts w:ascii="仿宋_GB2312"/>
                <w:sz w:val="22"/>
                <w:szCs w:val="22"/>
              </w:rPr>
            </w:pPr>
            <w:r w:rsidRPr="0043683E">
              <w:rPr>
                <w:rFonts w:ascii="仿宋_GB2312" w:hint="eastAsia"/>
                <w:sz w:val="22"/>
                <w:szCs w:val="22"/>
              </w:rPr>
              <w:t>7.7</w:t>
            </w:r>
          </w:p>
        </w:tc>
        <w:tc>
          <w:tcPr>
            <w:tcW w:w="1560" w:type="dxa"/>
            <w:vAlign w:val="center"/>
          </w:tcPr>
          <w:p w:rsidR="008D0766" w:rsidRPr="0043683E" w:rsidRDefault="008D0766" w:rsidP="00AB287B">
            <w:pPr>
              <w:jc w:val="center"/>
              <w:rPr>
                <w:rFonts w:ascii="仿宋_GB2312"/>
                <w:sz w:val="22"/>
                <w:szCs w:val="22"/>
              </w:rPr>
            </w:pPr>
            <w:r w:rsidRPr="0043683E">
              <w:rPr>
                <w:rFonts w:ascii="仿宋_GB2312" w:hint="eastAsia"/>
                <w:sz w:val="22"/>
                <w:szCs w:val="22"/>
              </w:rPr>
              <w:t>554025.22</w:t>
            </w:r>
          </w:p>
        </w:tc>
        <w:tc>
          <w:tcPr>
            <w:tcW w:w="2693" w:type="dxa"/>
            <w:vAlign w:val="center"/>
          </w:tcPr>
          <w:p w:rsidR="008D0766" w:rsidRPr="0043683E" w:rsidRDefault="008D0766" w:rsidP="00AB287B">
            <w:pPr>
              <w:jc w:val="center"/>
              <w:rPr>
                <w:rFonts w:ascii="仿宋_GB2312"/>
                <w:sz w:val="22"/>
                <w:szCs w:val="22"/>
              </w:rPr>
            </w:pPr>
            <w:r w:rsidRPr="0043683E">
              <w:rPr>
                <w:rFonts w:ascii="仿宋_GB2312" w:hint="eastAsia"/>
                <w:sz w:val="22"/>
                <w:szCs w:val="22"/>
              </w:rPr>
              <w:t>138320.41</w:t>
            </w:r>
          </w:p>
        </w:tc>
      </w:tr>
      <w:tr w:rsidR="008D0766" w:rsidRPr="0039098E" w:rsidTr="00D3104E">
        <w:trPr>
          <w:trHeight w:val="473"/>
        </w:trPr>
        <w:tc>
          <w:tcPr>
            <w:tcW w:w="1101" w:type="dxa"/>
            <w:vAlign w:val="center"/>
          </w:tcPr>
          <w:p w:rsidR="008D0766" w:rsidRPr="00B75470" w:rsidRDefault="008D0766" w:rsidP="00AB287B">
            <w:pPr>
              <w:jc w:val="center"/>
              <w:rPr>
                <w:rFonts w:ascii="仿宋_GB2312"/>
                <w:sz w:val="20"/>
                <w:szCs w:val="20"/>
              </w:rPr>
            </w:pPr>
            <w:r w:rsidRPr="00B75470">
              <w:rPr>
                <w:rFonts w:ascii="仿宋_GB2312" w:hint="eastAsia"/>
                <w:sz w:val="20"/>
                <w:szCs w:val="20"/>
              </w:rPr>
              <w:t>坡头区</w:t>
            </w:r>
          </w:p>
        </w:tc>
        <w:tc>
          <w:tcPr>
            <w:tcW w:w="1559" w:type="dxa"/>
            <w:vAlign w:val="center"/>
          </w:tcPr>
          <w:p w:rsidR="008D0766" w:rsidRPr="0043683E" w:rsidRDefault="008D0766" w:rsidP="00AB287B">
            <w:pPr>
              <w:jc w:val="center"/>
              <w:rPr>
                <w:rFonts w:ascii="仿宋_GB2312"/>
                <w:sz w:val="22"/>
                <w:szCs w:val="22"/>
              </w:rPr>
            </w:pPr>
            <w:r w:rsidRPr="0043683E">
              <w:rPr>
                <w:rFonts w:ascii="仿宋_GB2312" w:hint="eastAsia"/>
                <w:sz w:val="22"/>
                <w:szCs w:val="22"/>
              </w:rPr>
              <w:t>27</w:t>
            </w:r>
          </w:p>
        </w:tc>
        <w:tc>
          <w:tcPr>
            <w:tcW w:w="1417" w:type="dxa"/>
            <w:vAlign w:val="center"/>
          </w:tcPr>
          <w:p w:rsidR="008D0766" w:rsidRPr="0043683E" w:rsidRDefault="008D0766" w:rsidP="00AB287B">
            <w:pPr>
              <w:jc w:val="center"/>
              <w:rPr>
                <w:rFonts w:ascii="仿宋_GB2312"/>
                <w:sz w:val="22"/>
                <w:szCs w:val="22"/>
              </w:rPr>
            </w:pPr>
            <w:r w:rsidRPr="0043683E">
              <w:rPr>
                <w:rFonts w:ascii="仿宋_GB2312" w:hint="eastAsia"/>
                <w:sz w:val="22"/>
                <w:szCs w:val="22"/>
              </w:rPr>
              <w:t>24.6</w:t>
            </w:r>
          </w:p>
        </w:tc>
        <w:tc>
          <w:tcPr>
            <w:tcW w:w="1560" w:type="dxa"/>
            <w:vAlign w:val="center"/>
          </w:tcPr>
          <w:p w:rsidR="008D0766" w:rsidRPr="0043683E" w:rsidRDefault="008D0766" w:rsidP="00AB287B">
            <w:pPr>
              <w:jc w:val="center"/>
              <w:rPr>
                <w:rFonts w:ascii="仿宋_GB2312"/>
                <w:sz w:val="22"/>
                <w:szCs w:val="22"/>
              </w:rPr>
            </w:pPr>
            <w:r w:rsidRPr="0043683E">
              <w:rPr>
                <w:rFonts w:ascii="仿宋_GB2312" w:hint="eastAsia"/>
                <w:sz w:val="22"/>
                <w:szCs w:val="22"/>
              </w:rPr>
              <w:t>1310984.25</w:t>
            </w:r>
          </w:p>
        </w:tc>
        <w:tc>
          <w:tcPr>
            <w:tcW w:w="2693" w:type="dxa"/>
            <w:vAlign w:val="center"/>
          </w:tcPr>
          <w:p w:rsidR="008D0766" w:rsidRPr="0043683E" w:rsidRDefault="008D0766" w:rsidP="00AB287B">
            <w:pPr>
              <w:jc w:val="center"/>
              <w:rPr>
                <w:rFonts w:ascii="仿宋_GB2312"/>
                <w:sz w:val="22"/>
                <w:szCs w:val="22"/>
              </w:rPr>
            </w:pPr>
            <w:r w:rsidRPr="0043683E">
              <w:rPr>
                <w:rFonts w:ascii="仿宋_GB2312" w:hint="eastAsia"/>
                <w:sz w:val="22"/>
                <w:szCs w:val="22"/>
              </w:rPr>
              <w:t>327306.18</w:t>
            </w:r>
          </w:p>
        </w:tc>
      </w:tr>
      <w:tr w:rsidR="008D0766" w:rsidRPr="0039098E" w:rsidTr="00D3104E">
        <w:trPr>
          <w:trHeight w:val="561"/>
        </w:trPr>
        <w:tc>
          <w:tcPr>
            <w:tcW w:w="1101" w:type="dxa"/>
            <w:vAlign w:val="center"/>
          </w:tcPr>
          <w:p w:rsidR="008D0766" w:rsidRPr="00B75470" w:rsidRDefault="008D0766" w:rsidP="00AB287B">
            <w:pPr>
              <w:jc w:val="center"/>
              <w:rPr>
                <w:rFonts w:ascii="仿宋_GB2312"/>
                <w:sz w:val="20"/>
                <w:szCs w:val="20"/>
              </w:rPr>
            </w:pPr>
            <w:r>
              <w:rPr>
                <w:rFonts w:ascii="仿宋_GB2312" w:hint="eastAsia"/>
                <w:sz w:val="20"/>
                <w:szCs w:val="20"/>
              </w:rPr>
              <w:t>开发区</w:t>
            </w:r>
          </w:p>
        </w:tc>
        <w:tc>
          <w:tcPr>
            <w:tcW w:w="1559" w:type="dxa"/>
            <w:vAlign w:val="center"/>
          </w:tcPr>
          <w:p w:rsidR="008D0766" w:rsidRPr="0043683E" w:rsidRDefault="008D0766" w:rsidP="00AB287B">
            <w:pPr>
              <w:jc w:val="center"/>
              <w:rPr>
                <w:rFonts w:ascii="仿宋_GB2312"/>
                <w:sz w:val="22"/>
                <w:szCs w:val="22"/>
              </w:rPr>
            </w:pPr>
            <w:r w:rsidRPr="0043683E">
              <w:rPr>
                <w:rFonts w:ascii="仿宋_GB2312" w:hint="eastAsia"/>
                <w:sz w:val="22"/>
                <w:szCs w:val="22"/>
              </w:rPr>
              <w:t>22</w:t>
            </w:r>
          </w:p>
        </w:tc>
        <w:tc>
          <w:tcPr>
            <w:tcW w:w="1417" w:type="dxa"/>
            <w:vAlign w:val="center"/>
          </w:tcPr>
          <w:p w:rsidR="008D0766" w:rsidRPr="0043683E" w:rsidRDefault="008D0766" w:rsidP="00AB287B">
            <w:pPr>
              <w:jc w:val="center"/>
              <w:rPr>
                <w:rFonts w:ascii="仿宋_GB2312"/>
                <w:sz w:val="22"/>
                <w:szCs w:val="22"/>
              </w:rPr>
            </w:pPr>
            <w:r w:rsidRPr="0043683E">
              <w:rPr>
                <w:rFonts w:ascii="仿宋_GB2312" w:hint="eastAsia"/>
                <w:sz w:val="22"/>
                <w:szCs w:val="22"/>
              </w:rPr>
              <w:t>22</w:t>
            </w:r>
          </w:p>
        </w:tc>
        <w:tc>
          <w:tcPr>
            <w:tcW w:w="1560" w:type="dxa"/>
            <w:vAlign w:val="center"/>
          </w:tcPr>
          <w:p w:rsidR="008D0766" w:rsidRPr="0043683E" w:rsidRDefault="008D0766" w:rsidP="00AB287B">
            <w:pPr>
              <w:jc w:val="center"/>
              <w:rPr>
                <w:rFonts w:ascii="仿宋_GB2312"/>
                <w:sz w:val="22"/>
                <w:szCs w:val="22"/>
              </w:rPr>
            </w:pPr>
            <w:r w:rsidRPr="0043683E">
              <w:rPr>
                <w:rFonts w:ascii="仿宋_GB2312" w:hint="eastAsia"/>
                <w:sz w:val="22"/>
                <w:szCs w:val="22"/>
              </w:rPr>
              <w:t>2174774.95</w:t>
            </w:r>
          </w:p>
        </w:tc>
        <w:tc>
          <w:tcPr>
            <w:tcW w:w="2693" w:type="dxa"/>
            <w:vAlign w:val="center"/>
          </w:tcPr>
          <w:p w:rsidR="008D0766" w:rsidRPr="0043683E" w:rsidRDefault="008D0766" w:rsidP="00AB287B">
            <w:pPr>
              <w:jc w:val="center"/>
              <w:rPr>
                <w:rFonts w:ascii="仿宋_GB2312"/>
                <w:sz w:val="22"/>
                <w:szCs w:val="22"/>
              </w:rPr>
            </w:pPr>
            <w:r w:rsidRPr="0043683E">
              <w:rPr>
                <w:rFonts w:ascii="仿宋_GB2312" w:hint="eastAsia"/>
                <w:sz w:val="22"/>
                <w:szCs w:val="22"/>
              </w:rPr>
              <w:t>542964.02</w:t>
            </w:r>
          </w:p>
        </w:tc>
      </w:tr>
      <w:tr w:rsidR="008D0766" w:rsidRPr="0039098E" w:rsidTr="00D3104E">
        <w:trPr>
          <w:trHeight w:val="555"/>
        </w:trPr>
        <w:tc>
          <w:tcPr>
            <w:tcW w:w="1101" w:type="dxa"/>
            <w:vAlign w:val="center"/>
          </w:tcPr>
          <w:p w:rsidR="008D0766" w:rsidRPr="00B75470" w:rsidRDefault="008D0766" w:rsidP="00AB287B">
            <w:pPr>
              <w:jc w:val="center"/>
              <w:rPr>
                <w:rFonts w:ascii="仿宋_GB2312"/>
                <w:sz w:val="20"/>
                <w:szCs w:val="20"/>
              </w:rPr>
            </w:pPr>
            <w:r>
              <w:rPr>
                <w:rFonts w:ascii="仿宋_GB2312" w:hint="eastAsia"/>
                <w:sz w:val="20"/>
                <w:szCs w:val="20"/>
              </w:rPr>
              <w:t>廉江市</w:t>
            </w:r>
          </w:p>
        </w:tc>
        <w:tc>
          <w:tcPr>
            <w:tcW w:w="1559" w:type="dxa"/>
            <w:vAlign w:val="center"/>
          </w:tcPr>
          <w:p w:rsidR="008D0766" w:rsidRPr="0043683E" w:rsidRDefault="008D0766" w:rsidP="00AB287B">
            <w:pPr>
              <w:jc w:val="center"/>
              <w:rPr>
                <w:rFonts w:ascii="仿宋_GB2312"/>
                <w:sz w:val="22"/>
                <w:szCs w:val="22"/>
              </w:rPr>
            </w:pPr>
            <w:r w:rsidRPr="0043683E">
              <w:rPr>
                <w:rFonts w:ascii="仿宋_GB2312" w:hint="eastAsia"/>
                <w:sz w:val="22"/>
                <w:szCs w:val="22"/>
              </w:rPr>
              <w:t>40</w:t>
            </w:r>
          </w:p>
        </w:tc>
        <w:tc>
          <w:tcPr>
            <w:tcW w:w="1417" w:type="dxa"/>
            <w:vAlign w:val="center"/>
          </w:tcPr>
          <w:p w:rsidR="008D0766" w:rsidRPr="0043683E" w:rsidRDefault="008D0766" w:rsidP="00AB287B">
            <w:pPr>
              <w:jc w:val="center"/>
              <w:rPr>
                <w:rFonts w:ascii="仿宋_GB2312"/>
                <w:sz w:val="22"/>
                <w:szCs w:val="22"/>
              </w:rPr>
            </w:pPr>
            <w:r w:rsidRPr="0043683E">
              <w:rPr>
                <w:rFonts w:ascii="仿宋_GB2312" w:hint="eastAsia"/>
                <w:sz w:val="22"/>
                <w:szCs w:val="22"/>
              </w:rPr>
              <w:t>37.9</w:t>
            </w:r>
          </w:p>
        </w:tc>
        <w:tc>
          <w:tcPr>
            <w:tcW w:w="1560" w:type="dxa"/>
            <w:vAlign w:val="center"/>
          </w:tcPr>
          <w:p w:rsidR="008D0766" w:rsidRPr="0043683E" w:rsidRDefault="008D0766" w:rsidP="00AB287B">
            <w:pPr>
              <w:jc w:val="center"/>
              <w:rPr>
                <w:rFonts w:ascii="仿宋_GB2312"/>
                <w:sz w:val="22"/>
                <w:szCs w:val="22"/>
              </w:rPr>
            </w:pPr>
            <w:r w:rsidRPr="0043683E">
              <w:rPr>
                <w:rFonts w:ascii="仿宋_GB2312" w:hint="eastAsia"/>
                <w:sz w:val="22"/>
                <w:szCs w:val="22"/>
              </w:rPr>
              <w:t>2491190.9</w:t>
            </w:r>
          </w:p>
        </w:tc>
        <w:tc>
          <w:tcPr>
            <w:tcW w:w="2693" w:type="dxa"/>
            <w:vAlign w:val="center"/>
          </w:tcPr>
          <w:p w:rsidR="008D0766" w:rsidRPr="0043683E" w:rsidRDefault="008D0766" w:rsidP="00AB287B">
            <w:pPr>
              <w:jc w:val="center"/>
              <w:rPr>
                <w:rFonts w:ascii="仿宋_GB2312"/>
                <w:sz w:val="22"/>
                <w:szCs w:val="22"/>
              </w:rPr>
            </w:pPr>
            <w:r w:rsidRPr="0043683E">
              <w:rPr>
                <w:rFonts w:ascii="仿宋_GB2312" w:hint="eastAsia"/>
                <w:sz w:val="22"/>
                <w:szCs w:val="22"/>
              </w:rPr>
              <w:t>621961.83</w:t>
            </w:r>
          </w:p>
        </w:tc>
      </w:tr>
      <w:tr w:rsidR="008D0766" w:rsidRPr="0039098E" w:rsidTr="00D3104E">
        <w:trPr>
          <w:trHeight w:val="563"/>
        </w:trPr>
        <w:tc>
          <w:tcPr>
            <w:tcW w:w="1101" w:type="dxa"/>
            <w:vAlign w:val="center"/>
          </w:tcPr>
          <w:p w:rsidR="008D0766" w:rsidRPr="00B75470" w:rsidRDefault="008D0766" w:rsidP="00AB287B">
            <w:pPr>
              <w:jc w:val="center"/>
              <w:rPr>
                <w:rFonts w:ascii="仿宋_GB2312"/>
                <w:sz w:val="20"/>
                <w:szCs w:val="20"/>
              </w:rPr>
            </w:pPr>
            <w:r>
              <w:rPr>
                <w:rFonts w:ascii="仿宋_GB2312" w:hint="eastAsia"/>
                <w:sz w:val="20"/>
                <w:szCs w:val="20"/>
              </w:rPr>
              <w:t>雷州市</w:t>
            </w:r>
          </w:p>
        </w:tc>
        <w:tc>
          <w:tcPr>
            <w:tcW w:w="1559" w:type="dxa"/>
            <w:vAlign w:val="center"/>
          </w:tcPr>
          <w:p w:rsidR="008D0766" w:rsidRPr="0043683E" w:rsidRDefault="008D0766" w:rsidP="00AB287B">
            <w:pPr>
              <w:jc w:val="center"/>
              <w:rPr>
                <w:rFonts w:ascii="仿宋_GB2312"/>
                <w:sz w:val="22"/>
                <w:szCs w:val="22"/>
              </w:rPr>
            </w:pPr>
            <w:r w:rsidRPr="0043683E">
              <w:rPr>
                <w:rFonts w:ascii="仿宋_GB2312" w:hint="eastAsia"/>
                <w:sz w:val="22"/>
                <w:szCs w:val="22"/>
              </w:rPr>
              <w:t>150</w:t>
            </w:r>
          </w:p>
        </w:tc>
        <w:tc>
          <w:tcPr>
            <w:tcW w:w="1417" w:type="dxa"/>
            <w:vAlign w:val="center"/>
          </w:tcPr>
          <w:p w:rsidR="008D0766" w:rsidRPr="0043683E" w:rsidRDefault="008D0766" w:rsidP="00AB287B">
            <w:pPr>
              <w:jc w:val="center"/>
              <w:rPr>
                <w:rFonts w:ascii="仿宋_GB2312"/>
                <w:sz w:val="22"/>
                <w:szCs w:val="22"/>
              </w:rPr>
            </w:pPr>
            <w:r w:rsidRPr="0043683E">
              <w:rPr>
                <w:rFonts w:ascii="仿宋_GB2312" w:hint="eastAsia"/>
                <w:sz w:val="22"/>
                <w:szCs w:val="22"/>
              </w:rPr>
              <w:t>141</w:t>
            </w:r>
          </w:p>
        </w:tc>
        <w:tc>
          <w:tcPr>
            <w:tcW w:w="1560" w:type="dxa"/>
            <w:vAlign w:val="center"/>
          </w:tcPr>
          <w:p w:rsidR="008D0766" w:rsidRPr="0043683E" w:rsidRDefault="008D0766" w:rsidP="00AB287B">
            <w:pPr>
              <w:jc w:val="center"/>
              <w:rPr>
                <w:rFonts w:ascii="仿宋_GB2312"/>
                <w:sz w:val="22"/>
                <w:szCs w:val="22"/>
              </w:rPr>
            </w:pPr>
            <w:r w:rsidRPr="0043683E">
              <w:rPr>
                <w:rFonts w:ascii="仿宋_GB2312" w:hint="eastAsia"/>
                <w:sz w:val="22"/>
                <w:szCs w:val="22"/>
              </w:rPr>
              <w:t>5667727.96</w:t>
            </w:r>
          </w:p>
        </w:tc>
        <w:tc>
          <w:tcPr>
            <w:tcW w:w="2693" w:type="dxa"/>
            <w:vAlign w:val="center"/>
          </w:tcPr>
          <w:p w:rsidR="008D0766" w:rsidRPr="0043683E" w:rsidRDefault="008D0766" w:rsidP="00AB287B">
            <w:pPr>
              <w:jc w:val="center"/>
              <w:rPr>
                <w:rFonts w:ascii="仿宋_GB2312"/>
                <w:sz w:val="22"/>
                <w:szCs w:val="22"/>
              </w:rPr>
            </w:pPr>
            <w:r w:rsidRPr="0043683E">
              <w:rPr>
                <w:rFonts w:ascii="仿宋_GB2312" w:hint="eastAsia"/>
                <w:sz w:val="22"/>
                <w:szCs w:val="22"/>
              </w:rPr>
              <w:t>1415030.25</w:t>
            </w:r>
          </w:p>
        </w:tc>
      </w:tr>
      <w:tr w:rsidR="008D0766" w:rsidRPr="0039098E" w:rsidTr="00D3104E">
        <w:trPr>
          <w:trHeight w:val="543"/>
        </w:trPr>
        <w:tc>
          <w:tcPr>
            <w:tcW w:w="1101" w:type="dxa"/>
            <w:vAlign w:val="center"/>
          </w:tcPr>
          <w:p w:rsidR="008D0766" w:rsidRPr="00B75470" w:rsidRDefault="008D0766" w:rsidP="00AB287B">
            <w:pPr>
              <w:jc w:val="center"/>
              <w:rPr>
                <w:rFonts w:ascii="仿宋_GB2312"/>
                <w:sz w:val="20"/>
                <w:szCs w:val="20"/>
              </w:rPr>
            </w:pPr>
            <w:r>
              <w:rPr>
                <w:rFonts w:ascii="仿宋_GB2312" w:hint="eastAsia"/>
                <w:sz w:val="20"/>
                <w:szCs w:val="20"/>
              </w:rPr>
              <w:t>徐闻县</w:t>
            </w:r>
          </w:p>
        </w:tc>
        <w:tc>
          <w:tcPr>
            <w:tcW w:w="1559" w:type="dxa"/>
            <w:vAlign w:val="center"/>
          </w:tcPr>
          <w:p w:rsidR="008D0766" w:rsidRPr="0043683E" w:rsidRDefault="008D0766" w:rsidP="00AB287B">
            <w:pPr>
              <w:jc w:val="center"/>
              <w:rPr>
                <w:rFonts w:ascii="仿宋_GB2312"/>
                <w:sz w:val="22"/>
                <w:szCs w:val="22"/>
              </w:rPr>
            </w:pPr>
            <w:r w:rsidRPr="0043683E">
              <w:rPr>
                <w:rFonts w:ascii="仿宋_GB2312" w:hint="eastAsia"/>
                <w:sz w:val="22"/>
                <w:szCs w:val="22"/>
              </w:rPr>
              <w:t>130</w:t>
            </w:r>
          </w:p>
        </w:tc>
        <w:tc>
          <w:tcPr>
            <w:tcW w:w="1417" w:type="dxa"/>
            <w:vAlign w:val="center"/>
          </w:tcPr>
          <w:p w:rsidR="008D0766" w:rsidRPr="0043683E" w:rsidRDefault="008D0766" w:rsidP="00AB287B">
            <w:pPr>
              <w:jc w:val="center"/>
              <w:rPr>
                <w:rFonts w:ascii="仿宋_GB2312"/>
                <w:sz w:val="22"/>
                <w:szCs w:val="22"/>
              </w:rPr>
            </w:pPr>
            <w:r w:rsidRPr="0043683E">
              <w:rPr>
                <w:rFonts w:ascii="仿宋_GB2312" w:hint="eastAsia"/>
                <w:sz w:val="22"/>
                <w:szCs w:val="22"/>
              </w:rPr>
              <w:t>118</w:t>
            </w:r>
          </w:p>
        </w:tc>
        <w:tc>
          <w:tcPr>
            <w:tcW w:w="1560" w:type="dxa"/>
            <w:vAlign w:val="center"/>
          </w:tcPr>
          <w:p w:rsidR="008D0766" w:rsidRPr="0043683E" w:rsidRDefault="008D0766" w:rsidP="00AB287B">
            <w:pPr>
              <w:jc w:val="center"/>
              <w:rPr>
                <w:rFonts w:ascii="仿宋_GB2312"/>
                <w:sz w:val="22"/>
                <w:szCs w:val="22"/>
              </w:rPr>
            </w:pPr>
            <w:r w:rsidRPr="0043683E">
              <w:rPr>
                <w:rFonts w:ascii="仿宋_GB2312" w:hint="eastAsia"/>
                <w:sz w:val="22"/>
                <w:szCs w:val="22"/>
              </w:rPr>
              <w:t>4930032.69</w:t>
            </w:r>
          </w:p>
        </w:tc>
        <w:tc>
          <w:tcPr>
            <w:tcW w:w="2693" w:type="dxa"/>
            <w:vAlign w:val="center"/>
          </w:tcPr>
          <w:p w:rsidR="008D0766" w:rsidRPr="0043683E" w:rsidRDefault="008D0766" w:rsidP="00AB287B">
            <w:pPr>
              <w:jc w:val="center"/>
              <w:rPr>
                <w:rFonts w:ascii="仿宋_GB2312"/>
                <w:sz w:val="22"/>
                <w:szCs w:val="22"/>
              </w:rPr>
            </w:pPr>
            <w:r w:rsidRPr="0043683E">
              <w:rPr>
                <w:rFonts w:ascii="仿宋_GB2312" w:hint="eastAsia"/>
                <w:sz w:val="22"/>
                <w:szCs w:val="22"/>
              </w:rPr>
              <w:t>1230853.95</w:t>
            </w:r>
          </w:p>
        </w:tc>
      </w:tr>
      <w:tr w:rsidR="008D0766" w:rsidRPr="0039098E" w:rsidTr="00D3104E">
        <w:trPr>
          <w:trHeight w:val="573"/>
        </w:trPr>
        <w:tc>
          <w:tcPr>
            <w:tcW w:w="1101" w:type="dxa"/>
            <w:vAlign w:val="center"/>
          </w:tcPr>
          <w:p w:rsidR="008D0766" w:rsidRPr="00B75470" w:rsidRDefault="008D0766" w:rsidP="0097790F">
            <w:pPr>
              <w:jc w:val="center"/>
              <w:rPr>
                <w:rFonts w:ascii="仿宋_GB2312"/>
                <w:sz w:val="20"/>
                <w:szCs w:val="20"/>
              </w:rPr>
            </w:pPr>
            <w:r w:rsidRPr="00B75470">
              <w:rPr>
                <w:rFonts w:ascii="仿宋_GB2312" w:hint="eastAsia"/>
                <w:sz w:val="20"/>
                <w:szCs w:val="20"/>
              </w:rPr>
              <w:t>合计</w:t>
            </w:r>
          </w:p>
        </w:tc>
        <w:tc>
          <w:tcPr>
            <w:tcW w:w="1559" w:type="dxa"/>
            <w:vAlign w:val="center"/>
          </w:tcPr>
          <w:p w:rsidR="008D0766" w:rsidRPr="0043683E" w:rsidRDefault="008D0766" w:rsidP="0097790F">
            <w:pPr>
              <w:jc w:val="center"/>
              <w:rPr>
                <w:rFonts w:ascii="仿宋_GB2312"/>
                <w:sz w:val="22"/>
                <w:szCs w:val="22"/>
              </w:rPr>
            </w:pPr>
            <w:r>
              <w:rPr>
                <w:rFonts w:ascii="仿宋_GB2312" w:hint="eastAsia"/>
                <w:sz w:val="22"/>
                <w:szCs w:val="22"/>
              </w:rPr>
              <w:t>396</w:t>
            </w:r>
          </w:p>
        </w:tc>
        <w:tc>
          <w:tcPr>
            <w:tcW w:w="1417" w:type="dxa"/>
            <w:vAlign w:val="center"/>
          </w:tcPr>
          <w:p w:rsidR="008D0766" w:rsidRPr="0043683E" w:rsidRDefault="008D0766" w:rsidP="00417CA6">
            <w:pPr>
              <w:jc w:val="center"/>
              <w:rPr>
                <w:rFonts w:ascii="仿宋_GB2312"/>
                <w:sz w:val="22"/>
                <w:szCs w:val="22"/>
              </w:rPr>
            </w:pPr>
            <w:r>
              <w:rPr>
                <w:rFonts w:ascii="仿宋_GB2312" w:hint="eastAsia"/>
                <w:sz w:val="22"/>
                <w:szCs w:val="22"/>
              </w:rPr>
              <w:t>367.2</w:t>
            </w:r>
          </w:p>
        </w:tc>
        <w:tc>
          <w:tcPr>
            <w:tcW w:w="1560" w:type="dxa"/>
            <w:vAlign w:val="center"/>
          </w:tcPr>
          <w:p w:rsidR="008D0766" w:rsidRPr="0043683E" w:rsidRDefault="008D0766" w:rsidP="0043683E">
            <w:pPr>
              <w:jc w:val="center"/>
              <w:rPr>
                <w:rFonts w:ascii="仿宋_GB2312"/>
                <w:sz w:val="22"/>
                <w:szCs w:val="22"/>
              </w:rPr>
            </w:pPr>
            <w:r w:rsidRPr="0043683E">
              <w:rPr>
                <w:rFonts w:ascii="仿宋_GB2312" w:hint="eastAsia"/>
                <w:sz w:val="22"/>
                <w:szCs w:val="22"/>
              </w:rPr>
              <w:t>17364293.</w:t>
            </w:r>
            <w:r>
              <w:rPr>
                <w:rFonts w:ascii="仿宋_GB2312" w:hint="eastAsia"/>
                <w:sz w:val="22"/>
                <w:szCs w:val="22"/>
              </w:rPr>
              <w:t>57</w:t>
            </w:r>
          </w:p>
        </w:tc>
        <w:tc>
          <w:tcPr>
            <w:tcW w:w="2693" w:type="dxa"/>
            <w:vAlign w:val="center"/>
          </w:tcPr>
          <w:p w:rsidR="008D0766" w:rsidRPr="0043683E" w:rsidRDefault="008D0766">
            <w:pPr>
              <w:jc w:val="center"/>
              <w:rPr>
                <w:rFonts w:ascii="仿宋_GB2312"/>
                <w:sz w:val="22"/>
                <w:szCs w:val="22"/>
              </w:rPr>
            </w:pPr>
            <w:r w:rsidRPr="0043683E">
              <w:rPr>
                <w:rFonts w:ascii="仿宋_GB2312" w:hint="eastAsia"/>
                <w:sz w:val="22"/>
                <w:szCs w:val="22"/>
              </w:rPr>
              <w:t>4335247</w:t>
            </w:r>
          </w:p>
        </w:tc>
      </w:tr>
    </w:tbl>
    <w:p w:rsidR="003417B1" w:rsidRDefault="003417B1" w:rsidP="008D0766">
      <w:pPr>
        <w:ind w:right="280"/>
        <w:jc w:val="right"/>
        <w:rPr>
          <w:rFonts w:ascii="仿宋_GB2312"/>
          <w:sz w:val="28"/>
          <w:szCs w:val="28"/>
        </w:rPr>
      </w:pPr>
      <w:r w:rsidRPr="008B63B3">
        <w:rPr>
          <w:rFonts w:ascii="仿宋_GB2312" w:hint="eastAsia"/>
          <w:sz w:val="28"/>
          <w:szCs w:val="28"/>
        </w:rPr>
        <w:t>制表时间：201</w:t>
      </w:r>
      <w:r>
        <w:rPr>
          <w:rFonts w:ascii="仿宋_GB2312" w:hint="eastAsia"/>
          <w:sz w:val="28"/>
          <w:szCs w:val="28"/>
        </w:rPr>
        <w:t>9</w:t>
      </w:r>
      <w:r w:rsidRPr="008B63B3">
        <w:rPr>
          <w:rFonts w:ascii="仿宋_GB2312" w:hint="eastAsia"/>
          <w:sz w:val="28"/>
          <w:szCs w:val="28"/>
        </w:rPr>
        <w:t>年</w:t>
      </w:r>
      <w:r w:rsidR="006B1F2F">
        <w:rPr>
          <w:rFonts w:ascii="仿宋_GB2312" w:hint="eastAsia"/>
          <w:sz w:val="28"/>
          <w:szCs w:val="28"/>
        </w:rPr>
        <w:t>1</w:t>
      </w:r>
      <w:r w:rsidR="0043683E">
        <w:rPr>
          <w:rFonts w:ascii="仿宋_GB2312" w:hint="eastAsia"/>
          <w:sz w:val="28"/>
          <w:szCs w:val="28"/>
        </w:rPr>
        <w:t>2</w:t>
      </w:r>
      <w:r w:rsidRPr="008B63B3">
        <w:rPr>
          <w:rFonts w:ascii="仿宋_GB2312" w:hint="eastAsia"/>
          <w:sz w:val="28"/>
          <w:szCs w:val="28"/>
        </w:rPr>
        <w:t>月</w:t>
      </w:r>
    </w:p>
    <w:p w:rsidR="003417B1" w:rsidRPr="003417B1" w:rsidRDefault="003417B1" w:rsidP="003417B1">
      <w:pPr>
        <w:ind w:leftChars="-38" w:left="-122" w:rightChars="-75" w:right="-240" w:firstLineChars="200" w:firstLine="560"/>
        <w:rPr>
          <w:rFonts w:ascii="仿宋_GB2312"/>
          <w:sz w:val="28"/>
          <w:szCs w:val="28"/>
        </w:rPr>
      </w:pPr>
    </w:p>
    <w:p w:rsidR="00967231" w:rsidRPr="003417B1" w:rsidRDefault="00967231" w:rsidP="003417B1">
      <w:pPr>
        <w:pStyle w:val="New"/>
        <w:spacing w:line="600" w:lineRule="exact"/>
        <w:rPr>
          <w:rFonts w:ascii="仿宋_GB2312" w:hAnsi="Simsun" w:cs="宋体" w:hint="eastAsia"/>
          <w:kern w:val="0"/>
          <w:sz w:val="24"/>
        </w:rPr>
      </w:pPr>
    </w:p>
    <w:sectPr w:rsidR="00967231" w:rsidRPr="003417B1" w:rsidSect="00F062B9">
      <w:pgSz w:w="11906" w:h="16838"/>
      <w:pgMar w:top="1440" w:right="1416"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16B" w:rsidRDefault="002F016B" w:rsidP="000A62DD">
      <w:r>
        <w:separator/>
      </w:r>
    </w:p>
  </w:endnote>
  <w:endnote w:type="continuationSeparator" w:id="0">
    <w:p w:rsidR="002F016B" w:rsidRDefault="002F016B" w:rsidP="000A62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16B" w:rsidRDefault="002F016B" w:rsidP="000A62DD">
      <w:r>
        <w:separator/>
      </w:r>
    </w:p>
  </w:footnote>
  <w:footnote w:type="continuationSeparator" w:id="0">
    <w:p w:rsidR="002F016B" w:rsidRDefault="002F016B" w:rsidP="000A62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1024"/>
  <w:defaultTabStop w:val="720"/>
  <w:characterSpacingControl w:val="doNotCompress"/>
  <w:hdrShapeDefaults>
    <o:shapedefaults v:ext="edit" spidmax="182274"/>
  </w:hdrShapeDefaults>
  <w:footnotePr>
    <w:footnote w:id="-1"/>
    <w:footnote w:id="0"/>
  </w:footnotePr>
  <w:endnotePr>
    <w:endnote w:id="-1"/>
    <w:endnote w:id="0"/>
  </w:endnotePr>
  <w:compat>
    <w:useFELayout/>
  </w:compat>
  <w:rsids>
    <w:rsidRoot w:val="009768AA"/>
    <w:rsid w:val="00006346"/>
    <w:rsid w:val="0000660F"/>
    <w:rsid w:val="000209C5"/>
    <w:rsid w:val="000236B8"/>
    <w:rsid w:val="00025775"/>
    <w:rsid w:val="00036947"/>
    <w:rsid w:val="000465DD"/>
    <w:rsid w:val="000820F6"/>
    <w:rsid w:val="0008443D"/>
    <w:rsid w:val="00091A88"/>
    <w:rsid w:val="000A62DD"/>
    <w:rsid w:val="000A6C24"/>
    <w:rsid w:val="000A7546"/>
    <w:rsid w:val="000B1B25"/>
    <w:rsid w:val="000B602B"/>
    <w:rsid w:val="000D2F01"/>
    <w:rsid w:val="000D67C3"/>
    <w:rsid w:val="000E0A1B"/>
    <w:rsid w:val="000E24FD"/>
    <w:rsid w:val="000E68C7"/>
    <w:rsid w:val="000E71C9"/>
    <w:rsid w:val="0010055A"/>
    <w:rsid w:val="0010579D"/>
    <w:rsid w:val="0010759F"/>
    <w:rsid w:val="001118D3"/>
    <w:rsid w:val="0011352A"/>
    <w:rsid w:val="001146F2"/>
    <w:rsid w:val="001413F2"/>
    <w:rsid w:val="0017113D"/>
    <w:rsid w:val="00180DE9"/>
    <w:rsid w:val="001940DB"/>
    <w:rsid w:val="001A076B"/>
    <w:rsid w:val="001B2E04"/>
    <w:rsid w:val="001C7958"/>
    <w:rsid w:val="001D63A4"/>
    <w:rsid w:val="001D7DE9"/>
    <w:rsid w:val="001E0B88"/>
    <w:rsid w:val="001F36B8"/>
    <w:rsid w:val="002054DA"/>
    <w:rsid w:val="00207845"/>
    <w:rsid w:val="0021085B"/>
    <w:rsid w:val="00212BA9"/>
    <w:rsid w:val="00213F4A"/>
    <w:rsid w:val="002178D0"/>
    <w:rsid w:val="0022394A"/>
    <w:rsid w:val="002252F9"/>
    <w:rsid w:val="0022698D"/>
    <w:rsid w:val="00236F0C"/>
    <w:rsid w:val="002436A3"/>
    <w:rsid w:val="00243BF0"/>
    <w:rsid w:val="00245C25"/>
    <w:rsid w:val="0024796E"/>
    <w:rsid w:val="0026418F"/>
    <w:rsid w:val="0027001A"/>
    <w:rsid w:val="00282A35"/>
    <w:rsid w:val="00283B30"/>
    <w:rsid w:val="00286AA1"/>
    <w:rsid w:val="002931D7"/>
    <w:rsid w:val="002962E7"/>
    <w:rsid w:val="002A01D8"/>
    <w:rsid w:val="002B007D"/>
    <w:rsid w:val="002B6BCB"/>
    <w:rsid w:val="002B719F"/>
    <w:rsid w:val="002D1B02"/>
    <w:rsid w:val="002D54A3"/>
    <w:rsid w:val="002E2D46"/>
    <w:rsid w:val="002E3FB2"/>
    <w:rsid w:val="002F016B"/>
    <w:rsid w:val="002F0294"/>
    <w:rsid w:val="002F70B1"/>
    <w:rsid w:val="00303D80"/>
    <w:rsid w:val="00312D11"/>
    <w:rsid w:val="00313DFB"/>
    <w:rsid w:val="00321879"/>
    <w:rsid w:val="00323B43"/>
    <w:rsid w:val="003417B1"/>
    <w:rsid w:val="003552BF"/>
    <w:rsid w:val="00372B98"/>
    <w:rsid w:val="00376392"/>
    <w:rsid w:val="00377EBA"/>
    <w:rsid w:val="00380B67"/>
    <w:rsid w:val="0039098E"/>
    <w:rsid w:val="00391B2F"/>
    <w:rsid w:val="0039359E"/>
    <w:rsid w:val="003941AF"/>
    <w:rsid w:val="0039495A"/>
    <w:rsid w:val="00397E08"/>
    <w:rsid w:val="003B300C"/>
    <w:rsid w:val="003C6A6E"/>
    <w:rsid w:val="003D37D8"/>
    <w:rsid w:val="003D64BB"/>
    <w:rsid w:val="003D64C8"/>
    <w:rsid w:val="004067B9"/>
    <w:rsid w:val="004127EC"/>
    <w:rsid w:val="00417CA6"/>
    <w:rsid w:val="00421072"/>
    <w:rsid w:val="0042525B"/>
    <w:rsid w:val="00433E05"/>
    <w:rsid w:val="004358AB"/>
    <w:rsid w:val="0043683E"/>
    <w:rsid w:val="00442FDE"/>
    <w:rsid w:val="0046027B"/>
    <w:rsid w:val="00461498"/>
    <w:rsid w:val="00464387"/>
    <w:rsid w:val="0046772D"/>
    <w:rsid w:val="0046774E"/>
    <w:rsid w:val="00470EF4"/>
    <w:rsid w:val="004826F1"/>
    <w:rsid w:val="00486153"/>
    <w:rsid w:val="00493835"/>
    <w:rsid w:val="004A2C40"/>
    <w:rsid w:val="004A4E5C"/>
    <w:rsid w:val="004C6B34"/>
    <w:rsid w:val="004D4658"/>
    <w:rsid w:val="00513C2F"/>
    <w:rsid w:val="00523F45"/>
    <w:rsid w:val="00533710"/>
    <w:rsid w:val="0053639C"/>
    <w:rsid w:val="00541132"/>
    <w:rsid w:val="00542781"/>
    <w:rsid w:val="00542996"/>
    <w:rsid w:val="005430E2"/>
    <w:rsid w:val="005432F2"/>
    <w:rsid w:val="00573CC4"/>
    <w:rsid w:val="00581B94"/>
    <w:rsid w:val="0059252B"/>
    <w:rsid w:val="005B2F02"/>
    <w:rsid w:val="005C0BE6"/>
    <w:rsid w:val="005C2CD1"/>
    <w:rsid w:val="005C4CEB"/>
    <w:rsid w:val="005C573E"/>
    <w:rsid w:val="005D127F"/>
    <w:rsid w:val="005D1FA3"/>
    <w:rsid w:val="005D7B3C"/>
    <w:rsid w:val="005E02E6"/>
    <w:rsid w:val="005E4099"/>
    <w:rsid w:val="005E755D"/>
    <w:rsid w:val="00600B8F"/>
    <w:rsid w:val="00603B5A"/>
    <w:rsid w:val="00623386"/>
    <w:rsid w:val="00643B24"/>
    <w:rsid w:val="00647F96"/>
    <w:rsid w:val="006538B4"/>
    <w:rsid w:val="00663AF4"/>
    <w:rsid w:val="006919A2"/>
    <w:rsid w:val="0069612A"/>
    <w:rsid w:val="006A7983"/>
    <w:rsid w:val="006B0253"/>
    <w:rsid w:val="006B1F2F"/>
    <w:rsid w:val="006C06B0"/>
    <w:rsid w:val="006C4FD4"/>
    <w:rsid w:val="006D54EC"/>
    <w:rsid w:val="006E1E4F"/>
    <w:rsid w:val="006E2AF8"/>
    <w:rsid w:val="006E34DF"/>
    <w:rsid w:val="00706471"/>
    <w:rsid w:val="00711FC7"/>
    <w:rsid w:val="00716417"/>
    <w:rsid w:val="00720DF0"/>
    <w:rsid w:val="007219D3"/>
    <w:rsid w:val="007360CF"/>
    <w:rsid w:val="00752E39"/>
    <w:rsid w:val="007548D1"/>
    <w:rsid w:val="00764A8A"/>
    <w:rsid w:val="0077039D"/>
    <w:rsid w:val="0077243A"/>
    <w:rsid w:val="007843F1"/>
    <w:rsid w:val="007A1B5F"/>
    <w:rsid w:val="007A22C3"/>
    <w:rsid w:val="007B16D0"/>
    <w:rsid w:val="007C05AF"/>
    <w:rsid w:val="007C489A"/>
    <w:rsid w:val="007C73BF"/>
    <w:rsid w:val="007F0533"/>
    <w:rsid w:val="007F1977"/>
    <w:rsid w:val="007F26C1"/>
    <w:rsid w:val="007F5AE9"/>
    <w:rsid w:val="007F621E"/>
    <w:rsid w:val="00803F62"/>
    <w:rsid w:val="00811791"/>
    <w:rsid w:val="00840838"/>
    <w:rsid w:val="00841042"/>
    <w:rsid w:val="008452D0"/>
    <w:rsid w:val="00850347"/>
    <w:rsid w:val="00850580"/>
    <w:rsid w:val="0085071B"/>
    <w:rsid w:val="00850DC9"/>
    <w:rsid w:val="00857ADE"/>
    <w:rsid w:val="008630FD"/>
    <w:rsid w:val="00871165"/>
    <w:rsid w:val="008739B7"/>
    <w:rsid w:val="00893DD7"/>
    <w:rsid w:val="00893ED5"/>
    <w:rsid w:val="008958AE"/>
    <w:rsid w:val="008B0CCC"/>
    <w:rsid w:val="008B63B3"/>
    <w:rsid w:val="008B7726"/>
    <w:rsid w:val="008C0E0A"/>
    <w:rsid w:val="008C351E"/>
    <w:rsid w:val="008C55E9"/>
    <w:rsid w:val="008D0766"/>
    <w:rsid w:val="008D5244"/>
    <w:rsid w:val="008D588B"/>
    <w:rsid w:val="008E5CCF"/>
    <w:rsid w:val="008E72A2"/>
    <w:rsid w:val="008F1842"/>
    <w:rsid w:val="008F5A3C"/>
    <w:rsid w:val="009218CF"/>
    <w:rsid w:val="00924C1A"/>
    <w:rsid w:val="009253EA"/>
    <w:rsid w:val="00925A55"/>
    <w:rsid w:val="00934D26"/>
    <w:rsid w:val="00941454"/>
    <w:rsid w:val="00941F2A"/>
    <w:rsid w:val="009434F5"/>
    <w:rsid w:val="009502B6"/>
    <w:rsid w:val="00952411"/>
    <w:rsid w:val="00957FE4"/>
    <w:rsid w:val="009660FF"/>
    <w:rsid w:val="00966BFF"/>
    <w:rsid w:val="00967231"/>
    <w:rsid w:val="009768AA"/>
    <w:rsid w:val="00981D14"/>
    <w:rsid w:val="009835D4"/>
    <w:rsid w:val="0098745E"/>
    <w:rsid w:val="009A232A"/>
    <w:rsid w:val="009A4542"/>
    <w:rsid w:val="009B0FB7"/>
    <w:rsid w:val="009E784A"/>
    <w:rsid w:val="009F15C1"/>
    <w:rsid w:val="00A168F6"/>
    <w:rsid w:val="00A2421A"/>
    <w:rsid w:val="00A3488E"/>
    <w:rsid w:val="00A44218"/>
    <w:rsid w:val="00A5000E"/>
    <w:rsid w:val="00A51B18"/>
    <w:rsid w:val="00A6063B"/>
    <w:rsid w:val="00A624E0"/>
    <w:rsid w:val="00A65150"/>
    <w:rsid w:val="00A83F25"/>
    <w:rsid w:val="00A857A7"/>
    <w:rsid w:val="00A93430"/>
    <w:rsid w:val="00A94317"/>
    <w:rsid w:val="00AB287B"/>
    <w:rsid w:val="00AB2B0A"/>
    <w:rsid w:val="00AB7D7A"/>
    <w:rsid w:val="00AC0B41"/>
    <w:rsid w:val="00AC5312"/>
    <w:rsid w:val="00AD597E"/>
    <w:rsid w:val="00AE7E98"/>
    <w:rsid w:val="00AF0D66"/>
    <w:rsid w:val="00AF3AD0"/>
    <w:rsid w:val="00AF711A"/>
    <w:rsid w:val="00B24AA6"/>
    <w:rsid w:val="00B45D96"/>
    <w:rsid w:val="00B53976"/>
    <w:rsid w:val="00B56030"/>
    <w:rsid w:val="00B57229"/>
    <w:rsid w:val="00B6005B"/>
    <w:rsid w:val="00B7192C"/>
    <w:rsid w:val="00B748C5"/>
    <w:rsid w:val="00B75470"/>
    <w:rsid w:val="00B75EFC"/>
    <w:rsid w:val="00BB265E"/>
    <w:rsid w:val="00BC1959"/>
    <w:rsid w:val="00BC73B8"/>
    <w:rsid w:val="00BC7CD5"/>
    <w:rsid w:val="00BE0E7B"/>
    <w:rsid w:val="00BE1AD7"/>
    <w:rsid w:val="00BE5EB6"/>
    <w:rsid w:val="00BE72FE"/>
    <w:rsid w:val="00C10994"/>
    <w:rsid w:val="00C24914"/>
    <w:rsid w:val="00C366EF"/>
    <w:rsid w:val="00C46A98"/>
    <w:rsid w:val="00C620FB"/>
    <w:rsid w:val="00C62AB4"/>
    <w:rsid w:val="00C76D12"/>
    <w:rsid w:val="00C774C4"/>
    <w:rsid w:val="00C930FD"/>
    <w:rsid w:val="00C94154"/>
    <w:rsid w:val="00C94C84"/>
    <w:rsid w:val="00C972D1"/>
    <w:rsid w:val="00C9735B"/>
    <w:rsid w:val="00C9767C"/>
    <w:rsid w:val="00CA26DA"/>
    <w:rsid w:val="00CA555A"/>
    <w:rsid w:val="00CC287A"/>
    <w:rsid w:val="00CC37A6"/>
    <w:rsid w:val="00CD43B4"/>
    <w:rsid w:val="00CD5CEE"/>
    <w:rsid w:val="00CD627F"/>
    <w:rsid w:val="00CE10EC"/>
    <w:rsid w:val="00CE1674"/>
    <w:rsid w:val="00D06B4B"/>
    <w:rsid w:val="00D07186"/>
    <w:rsid w:val="00D14F31"/>
    <w:rsid w:val="00D22EAD"/>
    <w:rsid w:val="00D3104E"/>
    <w:rsid w:val="00D341B1"/>
    <w:rsid w:val="00D415D1"/>
    <w:rsid w:val="00D44D51"/>
    <w:rsid w:val="00D60878"/>
    <w:rsid w:val="00D66708"/>
    <w:rsid w:val="00D818AE"/>
    <w:rsid w:val="00D81CC4"/>
    <w:rsid w:val="00D8391B"/>
    <w:rsid w:val="00D95790"/>
    <w:rsid w:val="00D96793"/>
    <w:rsid w:val="00D96CC1"/>
    <w:rsid w:val="00DA3051"/>
    <w:rsid w:val="00DB4C17"/>
    <w:rsid w:val="00DB6B97"/>
    <w:rsid w:val="00DD0451"/>
    <w:rsid w:val="00DD13F0"/>
    <w:rsid w:val="00DD3F27"/>
    <w:rsid w:val="00DD661E"/>
    <w:rsid w:val="00DF288D"/>
    <w:rsid w:val="00DF2A45"/>
    <w:rsid w:val="00E03F16"/>
    <w:rsid w:val="00E04FA2"/>
    <w:rsid w:val="00E26189"/>
    <w:rsid w:val="00E43C37"/>
    <w:rsid w:val="00E6331E"/>
    <w:rsid w:val="00E81019"/>
    <w:rsid w:val="00E87959"/>
    <w:rsid w:val="00E922AC"/>
    <w:rsid w:val="00EA1E31"/>
    <w:rsid w:val="00EB06F2"/>
    <w:rsid w:val="00ED55B0"/>
    <w:rsid w:val="00ED745B"/>
    <w:rsid w:val="00ED7D86"/>
    <w:rsid w:val="00EE16FC"/>
    <w:rsid w:val="00F0263A"/>
    <w:rsid w:val="00F062B9"/>
    <w:rsid w:val="00F110FE"/>
    <w:rsid w:val="00F1614A"/>
    <w:rsid w:val="00F2011F"/>
    <w:rsid w:val="00F320FF"/>
    <w:rsid w:val="00F32334"/>
    <w:rsid w:val="00F375D3"/>
    <w:rsid w:val="00F42E18"/>
    <w:rsid w:val="00F52CF2"/>
    <w:rsid w:val="00F66252"/>
    <w:rsid w:val="00F717D1"/>
    <w:rsid w:val="00F71E1D"/>
    <w:rsid w:val="00F72374"/>
    <w:rsid w:val="00F802A0"/>
    <w:rsid w:val="00F81FBC"/>
    <w:rsid w:val="00F96435"/>
    <w:rsid w:val="00FA0947"/>
    <w:rsid w:val="00FA17EB"/>
    <w:rsid w:val="00FA39FE"/>
    <w:rsid w:val="00FA3ABB"/>
    <w:rsid w:val="00FA4308"/>
    <w:rsid w:val="00FA76BF"/>
    <w:rsid w:val="00FB262B"/>
    <w:rsid w:val="00FB5E63"/>
    <w:rsid w:val="00FB5F0A"/>
    <w:rsid w:val="00FB7683"/>
    <w:rsid w:val="00FC41CF"/>
    <w:rsid w:val="00FD3658"/>
    <w:rsid w:val="00FD76BE"/>
    <w:rsid w:val="00FE351E"/>
    <w:rsid w:val="00FF52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2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8AA"/>
    <w:pPr>
      <w:widowControl w:val="0"/>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26DA"/>
    <w:pPr>
      <w:tabs>
        <w:tab w:val="center" w:pos="4153"/>
        <w:tab w:val="right" w:pos="8306"/>
      </w:tabs>
      <w:jc w:val="center"/>
    </w:pPr>
    <w:rPr>
      <w:rFonts w:eastAsiaTheme="majorEastAsia"/>
      <w:sz w:val="18"/>
      <w:szCs w:val="18"/>
    </w:rPr>
  </w:style>
  <w:style w:type="character" w:customStyle="1" w:styleId="Char">
    <w:name w:val="页眉 Char"/>
    <w:basedOn w:val="a0"/>
    <w:link w:val="a3"/>
    <w:uiPriority w:val="99"/>
    <w:rsid w:val="00CA26DA"/>
    <w:rPr>
      <w:rFonts w:ascii="Tahoma" w:eastAsiaTheme="majorEastAsia" w:hAnsi="Tahoma"/>
      <w:sz w:val="18"/>
      <w:szCs w:val="18"/>
    </w:rPr>
  </w:style>
  <w:style w:type="paragraph" w:customStyle="1" w:styleId="New">
    <w:name w:val="正文 New"/>
    <w:rsid w:val="009768AA"/>
    <w:pPr>
      <w:widowControl w:val="0"/>
    </w:pPr>
    <w:rPr>
      <w:rFonts w:ascii="Calibri" w:eastAsia="宋体" w:hAnsi="Calibri" w:cs="Times New Roman"/>
      <w:kern w:val="2"/>
      <w:sz w:val="21"/>
    </w:rPr>
  </w:style>
  <w:style w:type="paragraph" w:styleId="a4">
    <w:name w:val="List Paragraph"/>
    <w:basedOn w:val="a"/>
    <w:uiPriority w:val="34"/>
    <w:qFormat/>
    <w:rsid w:val="000E68C7"/>
    <w:pPr>
      <w:ind w:firstLineChars="200" w:firstLine="420"/>
    </w:pPr>
  </w:style>
  <w:style w:type="paragraph" w:styleId="a5">
    <w:name w:val="footer"/>
    <w:basedOn w:val="a"/>
    <w:link w:val="Char0"/>
    <w:uiPriority w:val="99"/>
    <w:unhideWhenUsed/>
    <w:rsid w:val="00C94154"/>
    <w:pPr>
      <w:widowControl/>
      <w:tabs>
        <w:tab w:val="center" w:pos="4153"/>
        <w:tab w:val="right" w:pos="8306"/>
      </w:tabs>
      <w:adjustRightInd w:val="0"/>
      <w:snapToGrid w:val="0"/>
      <w:jc w:val="left"/>
    </w:pPr>
    <w:rPr>
      <w:rFonts w:ascii="Tahoma" w:eastAsia="微软雅黑" w:hAnsi="Tahoma" w:cstheme="minorBidi"/>
      <w:kern w:val="0"/>
      <w:sz w:val="18"/>
      <w:szCs w:val="18"/>
    </w:rPr>
  </w:style>
  <w:style w:type="character" w:customStyle="1" w:styleId="Char0">
    <w:name w:val="页脚 Char"/>
    <w:basedOn w:val="a0"/>
    <w:link w:val="a5"/>
    <w:uiPriority w:val="99"/>
    <w:rsid w:val="00C94154"/>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1507</TotalTime>
  <Pages>4</Pages>
  <Words>275</Words>
  <Characters>1571</Characters>
  <Application>Microsoft Office Word</Application>
  <DocSecurity>0</DocSecurity>
  <Lines>13</Lines>
  <Paragraphs>3</Paragraphs>
  <ScaleCrop>false</ScaleCrop>
  <Company>Microsoft</Company>
  <LinksUpToDate>false</LinksUpToDate>
  <CharactersWithSpaces>1843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谭廷仲</dc:creator>
  <cp:lastModifiedBy>田学汉</cp:lastModifiedBy>
  <cp:revision>187</cp:revision>
  <cp:lastPrinted>2018-12-10T06:53:00Z</cp:lastPrinted>
  <dcterms:created xsi:type="dcterms:W3CDTF">2018-03-06T03:12:00Z</dcterms:created>
  <dcterms:modified xsi:type="dcterms:W3CDTF">2020-01-09T10:03:00Z</dcterms:modified>
</cp:coreProperties>
</file>