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  <w:bookmarkStart w:id="0" w:name="_Toc32467"/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</w:p>
    <w:p>
      <w:pPr>
        <w:spacing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auto"/>
          <w:sz w:val="48"/>
          <w:szCs w:val="48"/>
        </w:rPr>
      </w:pPr>
    </w:p>
    <w:p>
      <w:pPr>
        <w:jc w:val="center"/>
        <w:rPr>
          <w:rFonts w:asciiTheme="majorEastAsia" w:hAnsiTheme="majorEastAsia" w:eastAsiaTheme="majorEastAsia" w:cstheme="majorEastAsia"/>
          <w:color w:val="auto"/>
          <w:sz w:val="48"/>
          <w:szCs w:val="48"/>
        </w:rPr>
      </w:pPr>
      <w:bookmarkStart w:id="1" w:name="OLE_LINK15"/>
      <w:bookmarkStart w:id="2" w:name="OLE_LINK13"/>
      <w:bookmarkStart w:id="3" w:name="OLE_LINK12"/>
      <w:bookmarkStart w:id="4" w:name="_Toc9023"/>
      <w:bookmarkStart w:id="5" w:name="_Toc15698"/>
      <w:bookmarkStart w:id="6" w:name="_Toc18349"/>
      <w:bookmarkStart w:id="7" w:name="_Toc22957"/>
      <w:bookmarkStart w:id="8" w:name="_Toc17970"/>
      <w:bookmarkStart w:id="9" w:name="_Toc23775"/>
      <w:r>
        <w:rPr>
          <w:rFonts w:hint="eastAsia" w:asciiTheme="majorEastAsia" w:hAnsiTheme="majorEastAsia" w:eastAsiaTheme="majorEastAsia" w:cstheme="majorEastAsia"/>
          <w:color w:val="auto"/>
          <w:sz w:val="48"/>
          <w:szCs w:val="48"/>
          <w:lang w:eastAsia="zh-CN"/>
        </w:rPr>
        <w:t>广东省住房保障动态监管平台</w:t>
      </w:r>
      <w:bookmarkEnd w:id="1"/>
      <w:r>
        <w:rPr>
          <w:rFonts w:hint="eastAsia" w:asciiTheme="majorEastAsia" w:hAnsiTheme="majorEastAsia" w:eastAsiaTheme="majorEastAsia" w:cstheme="majorEastAsia"/>
          <w:color w:val="auto"/>
          <w:sz w:val="48"/>
          <w:szCs w:val="48"/>
          <w:lang w:eastAsia="zh-CN"/>
        </w:rPr>
        <w:t>湛江本地化功能模块升级改造</w:t>
      </w:r>
      <w:bookmarkEnd w:id="2"/>
      <w:r>
        <w:rPr>
          <w:rFonts w:hint="eastAsia" w:asciiTheme="majorEastAsia" w:hAnsiTheme="majorEastAsia" w:eastAsiaTheme="majorEastAsia" w:cstheme="majorEastAsia"/>
          <w:color w:val="auto"/>
          <w:sz w:val="48"/>
          <w:szCs w:val="48"/>
          <w:lang w:eastAsia="zh-CN"/>
        </w:rPr>
        <w:t>项目</w:t>
      </w:r>
      <w:bookmarkEnd w:id="3"/>
      <w:r>
        <w:rPr>
          <w:rFonts w:hint="eastAsia" w:asciiTheme="majorEastAsia" w:hAnsiTheme="majorEastAsia" w:eastAsiaTheme="majorEastAsia" w:cstheme="majorEastAsia"/>
          <w:color w:val="auto"/>
          <w:sz w:val="48"/>
          <w:szCs w:val="48"/>
        </w:rPr>
        <w:t>及运维方案</w:t>
      </w:r>
      <w:bookmarkEnd w:id="0"/>
      <w:bookmarkEnd w:id="4"/>
      <w:bookmarkEnd w:id="5"/>
      <w:bookmarkEnd w:id="6"/>
      <w:bookmarkEnd w:id="7"/>
      <w:bookmarkEnd w:id="8"/>
      <w:bookmarkEnd w:id="9"/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</w:p>
    <w:p>
      <w:pPr>
        <w:spacing w:line="600" w:lineRule="exact"/>
        <w:jc w:val="center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2025年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月</w:t>
      </w:r>
    </w:p>
    <w:p>
      <w:pPr>
        <w:spacing w:line="600" w:lineRule="exact"/>
        <w:ind w:left="420" w:leftChars="200"/>
        <w:rPr>
          <w:rFonts w:ascii="黑体" w:hAnsi="黑体" w:eastAsia="黑体" w:cs="黑体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/>
          <w:b/>
          <w:bCs/>
          <w:color w:val="auto"/>
        </w:rPr>
        <w:id w:val="147456038"/>
        <w:docPartObj>
          <w:docPartGallery w:val="Table of Contents"/>
          <w:docPartUnique/>
        </w:docPartObj>
      </w:sdtPr>
      <w:sdtEndPr>
        <w:rPr>
          <w:rFonts w:hint="eastAsia" w:ascii="黑体" w:hAnsi="黑体" w:eastAsia="黑体" w:cs="黑体"/>
          <w:b/>
          <w:bCs/>
          <w:color w:val="auto"/>
          <w:szCs w:val="32"/>
        </w:rPr>
      </w:sdtEndPr>
      <w:sdtContent>
        <w:p>
          <w:pPr>
            <w:spacing w:line="360" w:lineRule="auto"/>
            <w:jc w:val="center"/>
            <w:rPr>
              <w:b/>
              <w:bCs/>
              <w:color w:val="auto"/>
            </w:rPr>
          </w:pPr>
          <w:r>
            <w:rPr>
              <w:rFonts w:ascii="宋体" w:hAnsi="宋体" w:eastAsia="宋体"/>
              <w:b/>
              <w:bCs/>
              <w:color w:val="auto"/>
            </w:rPr>
            <w:t>目</w:t>
          </w:r>
          <w:r>
            <w:rPr>
              <w:rFonts w:hint="eastAsia" w:ascii="宋体" w:hAnsi="宋体" w:eastAsia="宋体"/>
              <w:b/>
              <w:bCs/>
              <w:color w:val="auto"/>
            </w:rPr>
            <w:t xml:space="preserve"> </w:t>
          </w:r>
          <w:r>
            <w:rPr>
              <w:rFonts w:ascii="宋体" w:hAnsi="宋体" w:eastAsia="宋体"/>
              <w:b/>
              <w:bCs/>
              <w:color w:val="auto"/>
            </w:rPr>
            <w:t>录</w:t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rFonts w:hint="eastAsia" w:ascii="黑体" w:hAnsi="黑体" w:eastAsia="黑体" w:cs="黑体"/>
              <w:color w:val="auto"/>
              <w:sz w:val="32"/>
              <w:szCs w:val="32"/>
            </w:rPr>
            <w:fldChar w:fldCharType="begin"/>
          </w:r>
          <w:r>
            <w:rPr>
              <w:rFonts w:hint="eastAsia" w:ascii="黑体" w:hAnsi="黑体" w:eastAsia="黑体" w:cs="黑体"/>
              <w:color w:val="auto"/>
              <w:sz w:val="32"/>
              <w:szCs w:val="32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color w:val="auto"/>
              <w:sz w:val="32"/>
              <w:szCs w:val="32"/>
            </w:rPr>
            <w:fldChar w:fldCharType="separate"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"_Toc17990"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szCs w:val="32"/>
            </w:rPr>
            <w:t>1.项目背景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_Toc17990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- 1 -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"_Toc10599"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Cs w:val="32"/>
            </w:rPr>
            <w:t>2.项目目标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_Toc10599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- 1 -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"_Toc16946"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color w:val="auto"/>
              <w:szCs w:val="32"/>
            </w:rPr>
            <w:t>3.定制化功能需求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_Toc16946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- 2 -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"_Toc2872"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3.1业务系统功能优化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_Toc2872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- 2 -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"_Toc10276"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3.2租金收缴管理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_Toc10276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- 2 -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"_Toc4829"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</w:rPr>
            <w:t>3.2.1电子发票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_Toc4829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- 2 -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"_Toc20970"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</w:rPr>
            <w:t>3.2.2批量租金代扣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_Toc20970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- 3 -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"_Toc3081"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</w:rPr>
            <w:t>3.2.3微信公众号缴费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_Toc3081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- 3 -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"_Toc22792"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</w:rPr>
            <w:t>3.2.4聚合码缴费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_Toc22792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- 3 -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"_Toc7270"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3.3政府门户网站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_Toc7270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- 3 -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"_Toc15852"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3.4微信公众号申请渠道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_Toc15852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- 3 -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"_Toc5739"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szCs w:val="32"/>
            </w:rPr>
            <w:t>4.数据查询管理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_Toc5739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- 4 -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"_Toc5609"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szCs w:val="32"/>
            </w:rPr>
            <w:t>5.运维服务内容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_Toc5609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- 4 -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"_Toc31731"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5.1日常维护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_Toc31731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- 4 -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"_Toc24054"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5.2业务系统软件运维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_Toc24054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- 4 -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"_Toc30327"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5.3数据运维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_Toc30327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- 4 -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"_Toc16519"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5.4系统突发事件处理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_Toc16519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- 5 -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"_Toc31249"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5.5系统运维报告出具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_Toc31249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- 5 -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"_Toc20210"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5.6运维工作要求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_Toc20210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- 5 -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"_Toc12733"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5.7平台新事项追加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_Toc12733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- 5 -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"_Toc29508"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szCs w:val="32"/>
            </w:rPr>
            <w:t>6.数据分析迁移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_Toc29508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- 6 -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"_Toc1644"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6.1数据情况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_Toc1644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- 6 -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"_Toc17774"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6.2数据分析移植治理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_Toc17774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- 6 -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4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"_Toc24550"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黑体" w:hAnsi="黑体" w:eastAsia="黑体" w:cs="黑体"/>
              <w:bCs/>
              <w:color w:val="auto"/>
              <w:szCs w:val="32"/>
            </w:rPr>
            <w:t>7.费用预算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_Toc24550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- 7 -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pStyle w:val="15"/>
            <w:tabs>
              <w:tab w:val="right" w:leader="dot" w:pos="8306"/>
            </w:tabs>
            <w:rPr>
              <w:color w:val="auto"/>
            </w:rPr>
          </w:pP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HYPERLINK \l "_Toc1845" </w:instrText>
          </w:r>
          <w:r>
            <w:rPr>
              <w:color w:val="auto"/>
            </w:rPr>
            <w:fldChar w:fldCharType="separate"/>
          </w:r>
          <w:r>
            <w:rPr>
              <w:rFonts w:hint="eastAsia" w:ascii="楷体" w:hAnsi="楷体" w:eastAsia="楷体" w:cs="楷体"/>
              <w:color w:val="auto"/>
              <w:szCs w:val="32"/>
            </w:rPr>
            <w:t>软件开发预算</w:t>
          </w:r>
          <w:r>
            <w:rPr>
              <w:color w:val="auto"/>
            </w:rPr>
            <w:tab/>
          </w:r>
          <w:r>
            <w:rPr>
              <w:color w:val="auto"/>
            </w:rPr>
            <w:fldChar w:fldCharType="begin"/>
          </w:r>
          <w:r>
            <w:rPr>
              <w:color w:val="auto"/>
            </w:rPr>
            <w:instrText xml:space="preserve"> PAGEREF _Toc1845 \h </w:instrText>
          </w:r>
          <w:r>
            <w:rPr>
              <w:color w:val="auto"/>
            </w:rPr>
            <w:fldChar w:fldCharType="separate"/>
          </w:r>
          <w:r>
            <w:rPr>
              <w:color w:val="auto"/>
            </w:rPr>
            <w:t>- 7 -</w:t>
          </w:r>
          <w:r>
            <w:rPr>
              <w:color w:val="auto"/>
            </w:rPr>
            <w:fldChar w:fldCharType="end"/>
          </w:r>
          <w:r>
            <w:rPr>
              <w:color w:val="auto"/>
            </w:rPr>
            <w:fldChar w:fldCharType="end"/>
          </w:r>
        </w:p>
        <w:p>
          <w:pPr>
            <w:spacing w:line="360" w:lineRule="auto"/>
            <w:ind w:firstLine="210" w:firstLineChars="100"/>
            <w:rPr>
              <w:rFonts w:ascii="黑体" w:hAnsi="黑体" w:eastAsia="黑体" w:cs="黑体"/>
              <w:color w:val="auto"/>
              <w:sz w:val="32"/>
              <w:szCs w:val="32"/>
            </w:rPr>
            <w:sectPr>
              <w:footerReference r:id="rId3" w:type="default"/>
              <w:pgSz w:w="11906" w:h="16838"/>
              <w:pgMar w:top="1440" w:right="1800" w:bottom="1440" w:left="1800" w:header="851" w:footer="992" w:gutter="0"/>
              <w:pgNumType w:fmt="numberInDash" w:start="1"/>
              <w:cols w:space="425" w:num="1"/>
              <w:docGrid w:type="lines" w:linePitch="312" w:charSpace="0"/>
            </w:sectPr>
          </w:pPr>
          <w:r>
            <w:rPr>
              <w:rFonts w:hint="eastAsia" w:ascii="黑体" w:hAnsi="黑体" w:eastAsia="黑体" w:cs="黑体"/>
              <w:color w:val="auto"/>
              <w:szCs w:val="32"/>
            </w:rPr>
            <w:fldChar w:fldCharType="end"/>
          </w:r>
        </w:p>
      </w:sdtContent>
    </w:sdt>
    <w:p>
      <w:pPr>
        <w:pStyle w:val="2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bookmarkStart w:id="10" w:name="_Toc1799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1.项目背景</w:t>
      </w:r>
      <w:bookmarkEnd w:id="10"/>
    </w:p>
    <w:p>
      <w:pPr>
        <w:pStyle w:val="9"/>
        <w:ind w:firstLine="42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提升便民服务，提高我市住房保障信息化管理水平，我局决定在广东省住房保障动态监管平台（以下简称省平台）基础上，进行本地化需求功能模块的开发。实现包括租金在银行账号批量划扣、批量生成电子发票及管理、通过聚合码缴交租金、公房巡查巡检、利用我局官网和微信公众号缴交租金及申请公租房等业务功能。</w:t>
      </w:r>
    </w:p>
    <w:p>
      <w:pPr>
        <w:pStyle w:val="9"/>
        <w:rPr>
          <w:rFonts w:ascii="华文楷体" w:hAnsi="华文楷体" w:eastAsia="华文楷体" w:cs="华文楷体"/>
          <w:color w:val="auto"/>
          <w:sz w:val="32"/>
          <w:szCs w:val="32"/>
        </w:rPr>
      </w:pPr>
      <w:r>
        <w:rPr>
          <w:rFonts w:hint="eastAsia" w:ascii="华文楷体" w:hAnsi="华文楷体" w:eastAsia="华文楷体" w:cs="华文楷体"/>
          <w:color w:val="auto"/>
          <w:sz w:val="32"/>
          <w:szCs w:val="32"/>
        </w:rPr>
        <w:t>系统现状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（1）现有保障网系统已不再维护升级，对业务的适配度越来越低；</w:t>
      </w:r>
    </w:p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（2）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未接入省一网共享平台，数据未实现共享，核查申请人材料真实性还需线下通过发函方式核查；</w:t>
      </w:r>
    </w:p>
    <w:p>
      <w:pPr>
        <w:pStyle w:val="9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（3）现系统无法开具电子发票，仍通过线下打印纸质发票方式开具发票，相关业务工作繁重；</w:t>
      </w:r>
    </w:p>
    <w:p>
      <w:pPr>
        <w:pStyle w:val="9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（4）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缴费方式单一，如霞山中心无法通过微信支付宝扫码方式进行租金缴纳，只能通过银行转账及现金方式进行群众主动租金缴纳。</w:t>
      </w:r>
    </w:p>
    <w:p>
      <w:pPr>
        <w:pStyle w:val="2"/>
        <w:rPr>
          <w:rFonts w:ascii="黑体" w:hAnsi="黑体" w:eastAsia="黑体" w:cs="黑体"/>
          <w:color w:val="auto"/>
          <w:sz w:val="32"/>
          <w:szCs w:val="32"/>
        </w:rPr>
      </w:pPr>
      <w:bookmarkStart w:id="11" w:name="_Toc10599"/>
      <w:r>
        <w:rPr>
          <w:rFonts w:hint="eastAsia" w:ascii="黑体" w:hAnsi="黑体" w:eastAsia="黑体" w:cs="黑体"/>
          <w:color w:val="auto"/>
          <w:sz w:val="32"/>
          <w:szCs w:val="32"/>
        </w:rPr>
        <w:t>2.项目目标</w:t>
      </w:r>
      <w:bookmarkEnd w:id="11"/>
    </w:p>
    <w:p>
      <w:pPr>
        <w:pStyle w:val="9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所有</w:t>
      </w:r>
      <w:r>
        <w:rPr>
          <w:rFonts w:ascii="仿宋" w:hAnsi="仿宋" w:eastAsia="仿宋" w:cs="仿宋"/>
          <w:color w:val="auto"/>
          <w:sz w:val="32"/>
          <w:szCs w:val="32"/>
        </w:rPr>
        <w:t>功能模块须在2025年10月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ascii="仿宋" w:hAnsi="仿宋" w:eastAsia="仿宋" w:cs="仿宋"/>
          <w:color w:val="auto"/>
          <w:sz w:val="32"/>
          <w:szCs w:val="32"/>
        </w:rPr>
        <w:t>1日前完成开发并达到上线标准</w:t>
      </w:r>
    </w:p>
    <w:p>
      <w:pPr>
        <w:pStyle w:val="2"/>
        <w:rPr>
          <w:color w:val="auto"/>
        </w:rPr>
      </w:pPr>
      <w:bookmarkStart w:id="12" w:name="_Toc16946"/>
      <w:r>
        <w:rPr>
          <w:rFonts w:hint="eastAsia" w:ascii="黑体" w:hAnsi="黑体" w:eastAsia="黑体" w:cs="黑体"/>
          <w:color w:val="auto"/>
          <w:sz w:val="32"/>
          <w:szCs w:val="32"/>
        </w:rPr>
        <w:t>3.定制化功能需求</w:t>
      </w:r>
      <w:bookmarkEnd w:id="12"/>
    </w:p>
    <w:p>
      <w:pPr>
        <w:pStyle w:val="9"/>
        <w:spacing w:after="0" w:line="600" w:lineRule="exact"/>
        <w:ind w:left="319" w:leftChars="152" w:firstLine="320" w:firstLineChars="1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13" w:name="_Toc2872"/>
      <w:r>
        <w:rPr>
          <w:rFonts w:hint="eastAsia" w:ascii="楷体" w:hAnsi="楷体" w:eastAsia="楷体" w:cs="楷体"/>
          <w:color w:val="auto"/>
          <w:sz w:val="32"/>
          <w:szCs w:val="32"/>
        </w:rPr>
        <w:t>3.1业务系统功能优化</w:t>
      </w:r>
      <w:bookmarkEnd w:id="13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为保证业务人员能使用本系统，根据当地政策规则、字段的输入输出、审批流程等进行业务调研、用户测试及定制功能改造。</w:t>
      </w:r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（1）对省平台中的保障计划、项目管理、房屋管理、保障资格业务、租赁运营业务、服务机构和标准管理等板块功能进行本地化调研及开发。</w:t>
      </w:r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（2）移动端巡查巡检功能模块，通过移动设备高效完成各项巡查和巡检任务。该模块包括任务派发、实时记录、问题上报、事件整改功能。</w:t>
      </w:r>
    </w:p>
    <w:p>
      <w:pPr>
        <w:pStyle w:val="9"/>
        <w:spacing w:after="0" w:line="600" w:lineRule="exact"/>
        <w:ind w:left="319" w:leftChars="152" w:firstLine="320" w:firstLineChars="1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14" w:name="_Toc10276"/>
      <w:bookmarkStart w:id="15" w:name="OLE_LINK2"/>
      <w:bookmarkStart w:id="16" w:name="_Toc129960692"/>
      <w:bookmarkStart w:id="17" w:name="_Toc7309"/>
      <w:bookmarkStart w:id="18" w:name="_Toc135668275"/>
      <w:r>
        <w:rPr>
          <w:rFonts w:hint="eastAsia" w:ascii="楷体" w:hAnsi="楷体" w:eastAsia="楷体" w:cs="楷体"/>
          <w:color w:val="auto"/>
          <w:sz w:val="32"/>
          <w:szCs w:val="32"/>
        </w:rPr>
        <w:t>3.2租金收缴管理</w:t>
      </w:r>
      <w:bookmarkEnd w:id="14"/>
    </w:p>
    <w:p>
      <w:pPr>
        <w:pStyle w:val="4"/>
        <w:numPr>
          <w:ilvl w:val="2"/>
          <w:numId w:val="0"/>
        </w:numPr>
        <w:spacing w:before="156" w:after="156"/>
        <w:ind w:left="720"/>
        <w:rPr>
          <w:rFonts w:ascii="楷体" w:hAnsi="楷体" w:eastAsia="楷体" w:cs="楷体"/>
          <w:color w:val="auto"/>
          <w:lang w:val="en-US"/>
        </w:rPr>
      </w:pPr>
      <w:bookmarkStart w:id="19" w:name="_Toc4829"/>
      <w:r>
        <w:rPr>
          <w:rFonts w:hint="eastAsia" w:ascii="楷体" w:hAnsi="楷体" w:eastAsia="楷体" w:cs="楷体"/>
          <w:color w:val="auto"/>
          <w:lang w:val="en-US"/>
        </w:rPr>
        <w:t>3.2.1电子发票</w:t>
      </w:r>
      <w:bookmarkEnd w:id="19"/>
    </w:p>
    <w:bookmarkEnd w:id="15"/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通过省平台业务系统发票开票记录查询功能，可查询、查看、打印、批量下载已开具的电子发票。</w:t>
      </w:r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柜台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缴纳：群众通过现金、转账方式提交相对应的材料到柜台办理缴款业务，柜台人员通过业务系统手动记账后自动开具电子发票；</w:t>
      </w:r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（2）银行批扣：中心工作人员通过业务系统提交租金批扣名单，通过业务系统批扣数据输入输出、自动批量开具电子发票。</w:t>
      </w:r>
    </w:p>
    <w:p>
      <w:pPr>
        <w:pStyle w:val="4"/>
        <w:numPr>
          <w:ilvl w:val="2"/>
          <w:numId w:val="0"/>
        </w:numPr>
        <w:spacing w:before="156" w:after="156"/>
        <w:ind w:left="720"/>
        <w:rPr>
          <w:rFonts w:ascii="楷体" w:hAnsi="楷体" w:eastAsia="楷体" w:cs="楷体"/>
          <w:color w:val="auto"/>
          <w:lang w:val="en-US"/>
        </w:rPr>
      </w:pPr>
      <w:bookmarkStart w:id="20" w:name="_Toc20970"/>
      <w:r>
        <w:rPr>
          <w:rFonts w:hint="eastAsia" w:ascii="楷体" w:hAnsi="楷体" w:eastAsia="楷体" w:cs="楷体"/>
          <w:color w:val="auto"/>
          <w:lang w:val="en-US"/>
        </w:rPr>
        <w:t>3.2.2批量租金代扣</w:t>
      </w:r>
      <w:bookmarkEnd w:id="20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通过将银行批扣租金的结果导入业务系统，自动记账并自动批量开具电子发票。</w:t>
      </w:r>
    </w:p>
    <w:p>
      <w:pPr>
        <w:pStyle w:val="4"/>
        <w:numPr>
          <w:ilvl w:val="2"/>
          <w:numId w:val="0"/>
        </w:numPr>
        <w:spacing w:before="156" w:after="156"/>
        <w:ind w:left="720"/>
        <w:rPr>
          <w:rFonts w:ascii="楷体" w:hAnsi="楷体" w:eastAsia="楷体" w:cs="楷体"/>
          <w:color w:val="auto"/>
          <w:lang w:val="en-US"/>
        </w:rPr>
      </w:pPr>
      <w:bookmarkStart w:id="21" w:name="_Toc3081"/>
      <w:r>
        <w:rPr>
          <w:rFonts w:hint="eastAsia" w:ascii="楷体" w:hAnsi="楷体" w:eastAsia="楷体" w:cs="楷体"/>
          <w:color w:val="auto"/>
          <w:lang w:val="en-US"/>
        </w:rPr>
        <w:t>3.2.3微信公众号缴费</w:t>
      </w:r>
      <w:bookmarkEnd w:id="21"/>
    </w:p>
    <w:p>
      <w:pPr>
        <w:pStyle w:val="9"/>
        <w:spacing w:after="0" w:line="60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群众通过“湛江市住房和城乡建设局”微信公众号服务，实现个人租金缴纳功能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系统自动记账</w:t>
      </w:r>
      <w:r>
        <w:rPr>
          <w:rFonts w:ascii="仿宋" w:hAnsi="仿宋" w:eastAsia="仿宋" w:cs="仿宋"/>
          <w:color w:val="auto"/>
          <w:sz w:val="32"/>
          <w:szCs w:val="32"/>
        </w:rPr>
        <w:t>并自动开具电子发票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4"/>
        <w:numPr>
          <w:ilvl w:val="2"/>
          <w:numId w:val="0"/>
        </w:numPr>
        <w:spacing w:before="156" w:after="156"/>
        <w:ind w:left="720"/>
        <w:rPr>
          <w:rFonts w:ascii="楷体" w:hAnsi="楷体" w:eastAsia="楷体" w:cs="楷体"/>
          <w:color w:val="auto"/>
          <w:lang w:val="en-US"/>
        </w:rPr>
      </w:pPr>
      <w:bookmarkStart w:id="22" w:name="_Toc22792"/>
      <w:r>
        <w:rPr>
          <w:rFonts w:hint="eastAsia" w:ascii="楷体" w:hAnsi="楷体" w:eastAsia="楷体" w:cs="楷体"/>
          <w:color w:val="auto"/>
          <w:lang w:val="en-US"/>
        </w:rPr>
        <w:t>3.2.4聚合码缴费</w:t>
      </w:r>
      <w:bookmarkEnd w:id="22"/>
    </w:p>
    <w:bookmarkEnd w:id="16"/>
    <w:bookmarkEnd w:id="17"/>
    <w:bookmarkEnd w:id="18"/>
    <w:p>
      <w:pPr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bookmarkStart w:id="23" w:name="_Toc129960694"/>
      <w:bookmarkStart w:id="24" w:name="_Toc135668277"/>
      <w:bookmarkStart w:id="25" w:name="_Toc115079955"/>
      <w:bookmarkStart w:id="26" w:name="_Toc29431"/>
      <w:bookmarkStart w:id="27" w:name="_Toc26176"/>
      <w:bookmarkStart w:id="28" w:name="_Toc1474386354"/>
      <w:bookmarkStart w:id="29" w:name="_Toc103629262"/>
      <w:r>
        <w:rPr>
          <w:rFonts w:hint="eastAsia" w:ascii="仿宋" w:hAnsi="仿宋" w:eastAsia="仿宋" w:cs="仿宋"/>
          <w:color w:val="auto"/>
          <w:sz w:val="32"/>
          <w:szCs w:val="32"/>
        </w:rPr>
        <w:t>群众通过扫描柜台二维码进入界面输入对应的信息后提交支付租金，系统自动记账</w:t>
      </w:r>
      <w:r>
        <w:rPr>
          <w:rFonts w:ascii="仿宋" w:hAnsi="仿宋" w:eastAsia="仿宋" w:cs="仿宋"/>
          <w:color w:val="auto"/>
          <w:sz w:val="32"/>
          <w:szCs w:val="32"/>
        </w:rPr>
        <w:t>并自动开具电子发票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9"/>
        <w:spacing w:after="0"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0" w:name="_Toc7270"/>
      <w:r>
        <w:rPr>
          <w:rFonts w:hint="eastAsia" w:ascii="楷体" w:hAnsi="楷体" w:eastAsia="楷体" w:cs="楷体"/>
          <w:color w:val="auto"/>
          <w:sz w:val="32"/>
          <w:szCs w:val="32"/>
        </w:rPr>
        <w:t>3.3政府门户网站</w:t>
      </w:r>
      <w:bookmarkEnd w:id="30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群众通过“广东政务服务网”门户网站，在网页端发起个人申请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房业务，并提供办理进度查询、推送办理结果通知等服务。</w:t>
      </w:r>
      <w:bookmarkEnd w:id="23"/>
      <w:bookmarkEnd w:id="24"/>
      <w:bookmarkEnd w:id="25"/>
      <w:bookmarkEnd w:id="26"/>
      <w:bookmarkEnd w:id="27"/>
      <w:bookmarkEnd w:id="28"/>
      <w:bookmarkEnd w:id="29"/>
    </w:p>
    <w:p>
      <w:pPr>
        <w:pStyle w:val="9"/>
        <w:spacing w:after="0"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1" w:name="_Toc15852"/>
      <w:r>
        <w:rPr>
          <w:rFonts w:hint="eastAsia" w:ascii="楷体" w:hAnsi="楷体" w:eastAsia="楷体" w:cs="楷体"/>
          <w:color w:val="auto"/>
          <w:sz w:val="32"/>
          <w:szCs w:val="32"/>
        </w:rPr>
        <w:t>3.4微信公众号申请渠道</w:t>
      </w:r>
      <w:bookmarkEnd w:id="31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群众通过“湛江市住房和城乡建设局”微信公众号服务，实现个人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家庭）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保障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房、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租金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缴费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电子发票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查看下载功能。</w:t>
      </w:r>
    </w:p>
    <w:p>
      <w:pPr>
        <w:pStyle w:val="2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bookmarkStart w:id="32" w:name="_Toc573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4.数据查询</w:t>
      </w:r>
      <w:bookmarkStart w:id="33" w:name="_Toc9803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管理</w:t>
      </w:r>
      <w:bookmarkEnd w:id="32"/>
    </w:p>
    <w:p>
      <w:pPr>
        <w:pStyle w:val="9"/>
        <w:spacing w:after="0" w:line="600" w:lineRule="exact"/>
        <w:ind w:firstLine="640" w:firstLineChars="200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提供系统内业务记录、数据信息查询，每个事项产生的业务流水及实例查询。</w:t>
      </w:r>
    </w:p>
    <w:p>
      <w:pPr>
        <w:pStyle w:val="2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bookmarkStart w:id="34" w:name="_Toc5609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5.运维服务内容</w:t>
      </w:r>
      <w:bookmarkEnd w:id="33"/>
      <w:bookmarkEnd w:id="34"/>
    </w:p>
    <w:p>
      <w:pPr>
        <w:pStyle w:val="9"/>
        <w:spacing w:after="0"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5" w:name="_Toc31731"/>
      <w:bookmarkStart w:id="36" w:name="_Toc17548"/>
      <w:r>
        <w:rPr>
          <w:rFonts w:hint="eastAsia" w:ascii="楷体" w:hAnsi="楷体" w:eastAsia="楷体" w:cs="楷体"/>
          <w:color w:val="auto"/>
          <w:sz w:val="32"/>
          <w:szCs w:val="32"/>
        </w:rPr>
        <w:t>5.1日常维护</w:t>
      </w:r>
      <w:bookmarkEnd w:id="35"/>
      <w:bookmarkEnd w:id="36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系统交付上线后，由服务商组建运维团队进行线上维护，保障系统稳定运行，包括日常服务器状态巡检、定期安全检查、日常用户操作指引、日常用户问题响应和解答、系统缺陷问题修复。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7" w:name="_Toc24054"/>
      <w:r>
        <w:rPr>
          <w:rFonts w:hint="eastAsia" w:ascii="楷体" w:hAnsi="楷体" w:eastAsia="楷体" w:cs="楷体"/>
          <w:color w:val="auto"/>
          <w:sz w:val="32"/>
          <w:szCs w:val="32"/>
        </w:rPr>
        <w:t>5.2业务系统软件运维</w:t>
      </w:r>
      <w:bookmarkEnd w:id="37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对于因软件设计缺陷导致的各种数据错误，通过派工程师到现场或其他方式配合检查并解决。由于系统设计缺陷导致频繁出现运维需求的情况，进行彻底修复。提供系统安装包升级服务，解决软件使用过程中的各类问题，保证应用的软件为最新版本软件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8" w:name="_Toc30327"/>
      <w:r>
        <w:rPr>
          <w:rFonts w:hint="eastAsia" w:ascii="楷体" w:hAnsi="楷体" w:eastAsia="楷体" w:cs="楷体"/>
          <w:color w:val="auto"/>
          <w:sz w:val="32"/>
          <w:szCs w:val="32"/>
        </w:rPr>
        <w:t>5.3数据运维</w:t>
      </w:r>
      <w:bookmarkEnd w:id="38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对系统业务数据进行日常维护工作，包括制定数据移植模板、异常数据检测、异常数据修正、格式标准化（如日期格式统一），但不包含原始数据清洗及数据移植。数据移植需各住房保障管理部门按数据移植模板进行整理完善后，方可进行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39" w:name="_Toc16519"/>
      <w:r>
        <w:rPr>
          <w:rFonts w:hint="eastAsia" w:ascii="楷体" w:hAnsi="楷体" w:eastAsia="楷体" w:cs="楷体"/>
          <w:color w:val="auto"/>
          <w:sz w:val="32"/>
          <w:szCs w:val="32"/>
        </w:rPr>
        <w:t>5.4系统突发事件处理</w:t>
      </w:r>
      <w:bookmarkEnd w:id="39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分级响应机制（普通问题12小时内解决，紧急问题30分钟内响应，客户提交的特殊问题72小时内解决）。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40" w:name="_Toc31249"/>
      <w:r>
        <w:rPr>
          <w:rFonts w:hint="eastAsia" w:ascii="楷体" w:hAnsi="楷体" w:eastAsia="楷体" w:cs="楷体"/>
          <w:color w:val="auto"/>
          <w:sz w:val="32"/>
          <w:szCs w:val="32"/>
        </w:rPr>
        <w:t>5.5系统运维报告出具</w:t>
      </w:r>
      <w:bookmarkEnd w:id="40"/>
    </w:p>
    <w:p>
      <w:pPr>
        <w:pStyle w:val="9"/>
        <w:spacing w:after="0"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ascii="仿宋" w:hAnsi="仿宋" w:eastAsia="仿宋" w:cs="仿宋"/>
          <w:color w:val="auto"/>
          <w:sz w:val="32"/>
          <w:szCs w:val="32"/>
        </w:rPr>
        <w:t>每季度出具《系统运维季度情况报告》，每年出具《系统运维年度情况报告》。《系统运维年度情况报告》中应包括但不限于以下内容：年度（季度）系统运行基本情况、维护情况（问题提交数量、问题解决完成时间、解决率、故障分类等）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41" w:name="_Toc20210"/>
      <w:r>
        <w:rPr>
          <w:rFonts w:hint="eastAsia" w:ascii="楷体" w:hAnsi="楷体" w:eastAsia="楷体" w:cs="楷体"/>
          <w:color w:val="auto"/>
          <w:sz w:val="32"/>
          <w:szCs w:val="32"/>
        </w:rPr>
        <w:t>5.6运维工作要求</w:t>
      </w:r>
      <w:bookmarkEnd w:id="41"/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（1）培训支持：提供业务培训，对全量业务功能进行培训。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（2）电话支持：提供7天×24小时电话技术支持服务，协助解答提出的业务软件相关的各种技术问题，包括技术咨询、指导和信息提供等。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（3）远程支持：可通过远程专线网络连接的方式进行远程维护和指导解决问题。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42" w:name="_Toc21929"/>
      <w:bookmarkStart w:id="43" w:name="_Toc12733"/>
      <w:r>
        <w:rPr>
          <w:rFonts w:hint="eastAsia" w:ascii="楷体" w:hAnsi="楷体" w:eastAsia="楷体" w:cs="楷体"/>
          <w:color w:val="auto"/>
          <w:sz w:val="32"/>
          <w:szCs w:val="32"/>
        </w:rPr>
        <w:t>5.7平台新事项追加</w:t>
      </w:r>
      <w:bookmarkEnd w:id="42"/>
      <w:bookmarkEnd w:id="43"/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市住建局提出需求在系统中确认添加新的功能事项后，软件服务商开始进行新事项追加流程。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本阶段工作分三个步骤：</w:t>
      </w:r>
    </w:p>
    <w:p>
      <w:pPr>
        <w:pStyle w:val="16"/>
        <w:spacing w:before="0" w:beforeAutospacing="0" w:after="0" w:afterAutospacing="0" w:line="600" w:lineRule="exact"/>
        <w:ind w:firstLine="640" w:firstLineChars="200"/>
        <w:contextualSpacing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（1）业务分析：对新增功能事项进行充分调研，分析需求本质，解决客户什么问题，形成相关成果物文档，并进行多方评审。</w:t>
      </w:r>
    </w:p>
    <w:p>
      <w:pPr>
        <w:pStyle w:val="16"/>
        <w:spacing w:before="0" w:beforeAutospacing="0" w:after="0" w:afterAutospacing="0" w:line="600" w:lineRule="exact"/>
        <w:ind w:firstLine="640" w:firstLineChars="200"/>
        <w:contextualSpacing/>
        <w:rPr>
          <w:rFonts w:ascii="仿宋" w:hAnsi="仿宋" w:eastAsia="仿宋" w:cs="仿宋"/>
          <w:color w:val="auto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（2）产品准备：根据评审结果，进行对象调整、新事项配置研发、算法编写、单元测试</w:t>
      </w:r>
      <w:bookmarkStart w:id="51" w:name="_GoBack"/>
      <w:bookmarkEnd w:id="51"/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及相关数据准备，经由公司、现场两步测试，来达到上线要求。</w:t>
      </w:r>
    </w:p>
    <w:p>
      <w:pPr>
        <w:pStyle w:val="9"/>
        <w:spacing w:after="0" w:line="600" w:lineRule="exact"/>
        <w:ind w:firstLine="640" w:firstLineChars="200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（3）交付上线：待事项测试通过，报市住建局确认后，将要追加的功能发布上线。</w:t>
      </w:r>
    </w:p>
    <w:p>
      <w:pPr>
        <w:rPr>
          <w:color w:val="auto"/>
        </w:rPr>
      </w:pPr>
    </w:p>
    <w:p>
      <w:pPr>
        <w:pStyle w:val="2"/>
        <w:rPr>
          <w:color w:val="auto"/>
        </w:rPr>
      </w:pPr>
      <w:bookmarkStart w:id="44" w:name="_Toc29508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6.数据分析迁移</w:t>
      </w:r>
      <w:bookmarkEnd w:id="44"/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45" w:name="_Toc1644"/>
      <w:bookmarkStart w:id="46" w:name="_Toc20207"/>
      <w:r>
        <w:rPr>
          <w:rFonts w:hint="eastAsia" w:ascii="楷体" w:hAnsi="楷体" w:eastAsia="楷体" w:cs="楷体"/>
          <w:color w:val="auto"/>
          <w:sz w:val="32"/>
          <w:szCs w:val="32"/>
        </w:rPr>
        <w:t>6.1数据情况</w:t>
      </w:r>
      <w:bookmarkEnd w:id="45"/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全市房源数据约18800套，保障户数约18000户，房源、保障对象、配租、租金等数据合计约930000条。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旧系统数据字段信息缺失较多，手工台账数据较为混乱，无电子档案数据。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提供的住保数据是以台账excel文件形式、数据库备份imp文件形式提供。</w:t>
      </w:r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47" w:name="_Toc17774"/>
      <w:r>
        <w:rPr>
          <w:rFonts w:hint="eastAsia" w:ascii="楷体" w:hAnsi="楷体" w:eastAsia="楷体" w:cs="楷体"/>
          <w:color w:val="auto"/>
          <w:sz w:val="32"/>
          <w:szCs w:val="32"/>
        </w:rPr>
        <w:t>6.</w:t>
      </w:r>
      <w:bookmarkStart w:id="48" w:name="OLE_LINK1"/>
      <w:r>
        <w:rPr>
          <w:rFonts w:hint="eastAsia" w:ascii="楷体" w:hAnsi="楷体" w:eastAsia="楷体" w:cs="楷体"/>
          <w:color w:val="auto"/>
          <w:sz w:val="32"/>
          <w:szCs w:val="32"/>
        </w:rPr>
        <w:t>2</w:t>
      </w:r>
      <w:bookmarkEnd w:id="48"/>
      <w:r>
        <w:rPr>
          <w:rFonts w:hint="eastAsia" w:ascii="楷体" w:hAnsi="楷体" w:eastAsia="楷体" w:cs="楷体"/>
          <w:color w:val="auto"/>
          <w:sz w:val="32"/>
          <w:szCs w:val="32"/>
        </w:rPr>
        <w:t>数据分析移植治理</w:t>
      </w:r>
      <w:bookmarkEnd w:id="46"/>
      <w:bookmarkEnd w:id="47"/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业务数据，包括房源、保障对象、配租、合同、补贴发放、配后等业务数据治理和迁移至新系统。</w:t>
      </w:r>
    </w:p>
    <w:p>
      <w:pPr>
        <w:spacing w:line="600" w:lineRule="exact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移植方式：中心业务数据提供者组织人员按照《数据移植标准模板》将本地区的相关业务数据分类整理、录入模板中。系统开发公司组织数据移植工程师利用已录好数据的《模板》，编写数据移植脚本，将数据移植到用户测试环境和生产环境的数据库中。</w:t>
      </w:r>
    </w:p>
    <w:p>
      <w:pPr>
        <w:pStyle w:val="2"/>
        <w:rPr>
          <w:rFonts w:ascii="黑体" w:hAnsi="黑体" w:eastAsia="黑体" w:cs="黑体"/>
          <w:b w:val="0"/>
          <w:bCs/>
          <w:color w:val="auto"/>
          <w:sz w:val="32"/>
          <w:szCs w:val="32"/>
        </w:rPr>
      </w:pPr>
      <w:bookmarkStart w:id="49" w:name="_Toc2455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7.费用预算</w:t>
      </w:r>
      <w:bookmarkEnd w:id="49"/>
    </w:p>
    <w:p>
      <w:pPr>
        <w:spacing w:line="600" w:lineRule="exact"/>
        <w:ind w:firstLine="640" w:firstLineChars="200"/>
        <w:outlineLvl w:val="1"/>
        <w:rPr>
          <w:rFonts w:ascii="楷体" w:hAnsi="楷体" w:eastAsia="楷体" w:cs="楷体"/>
          <w:color w:val="auto"/>
          <w:sz w:val="32"/>
          <w:szCs w:val="32"/>
        </w:rPr>
      </w:pPr>
      <w:bookmarkStart w:id="50" w:name="_Toc1845"/>
      <w:r>
        <w:rPr>
          <w:rFonts w:hint="eastAsia" w:ascii="楷体" w:hAnsi="楷体" w:eastAsia="楷体" w:cs="楷体"/>
          <w:color w:val="auto"/>
          <w:sz w:val="32"/>
          <w:szCs w:val="32"/>
        </w:rPr>
        <w:t>软件开发预算</w:t>
      </w:r>
      <w:bookmarkEnd w:id="50"/>
    </w:p>
    <w:p>
      <w:pPr>
        <w:pStyle w:val="9"/>
        <w:ind w:firstLine="640" w:firstLineChars="200"/>
        <w:rPr>
          <w:rFonts w:ascii="仿宋" w:hAnsi="仿宋" w:eastAsia="仿宋" w:cs="仿宋"/>
          <w:color w:val="auto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bidi="ar"/>
        </w:rPr>
        <w:t>软件开发服务预算为247300元（不含日常维护费用），详情如下：</w:t>
      </w:r>
    </w:p>
    <w:tbl>
      <w:tblPr>
        <w:tblStyle w:val="17"/>
        <w:tblW w:w="78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491"/>
        <w:gridCol w:w="3164"/>
        <w:gridCol w:w="2513"/>
      </w:tblGrid>
      <w:tr>
        <w:trPr>
          <w:trHeight w:val="61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费用类型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金额（元）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差异化需求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69000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552"/>
              </w:tabs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租金收缴管理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162200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政府门户网站及公众号个人申请渠道开发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16100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数据查询管理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日常维护</w:t>
            </w: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系统竣工验收满一年后，从第二年开始收取系统运维费用，全市的系统运维费用为每年2万元整，特殊情况（如不可抗力）双方另行约定。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数据、系统运维</w:t>
            </w:r>
          </w:p>
        </w:tc>
      </w:tr>
    </w:tbl>
    <w:p>
      <w:pPr>
        <w:pStyle w:val="9"/>
        <w:ind w:firstLine="420" w:firstLineChars="200"/>
        <w:rPr>
          <w:color w:val="auto"/>
        </w:rPr>
      </w:pPr>
    </w:p>
    <w:p>
      <w:pPr>
        <w:jc w:val="center"/>
        <w:rPr>
          <w:color w:val="auto"/>
        </w:rPr>
      </w:pPr>
      <w:r>
        <w:rPr>
          <w:rFonts w:hint="eastAsia"/>
          <w:color w:val="auto"/>
        </w:rPr>
        <w:t>表1预算清单</w:t>
      </w:r>
    </w:p>
    <w:p>
      <w:pPr>
        <w:ind w:left="420" w:firstLine="420"/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EEE994"/>
    <w:multiLevelType w:val="multilevel"/>
    <w:tmpl w:val="A8EEE994"/>
    <w:lvl w:ilvl="0" w:tentative="0">
      <w:start w:val="1"/>
      <w:numFmt w:val="chineseCounting"/>
      <w:lvlText w:val="第%1章"/>
      <w:lvlJc w:val="left"/>
      <w:pPr>
        <w:ind w:left="420" w:hanging="420"/>
      </w:pPr>
      <w:rPr>
        <w:rFonts w:hint="eastAsia" w:ascii="黑体" w:hAnsi="黑体" w:eastAsia="黑体" w:cs="黑体"/>
        <w:sz w:val="44"/>
        <w:szCs w:val="44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1838"/>
        </w:tabs>
        <w:ind w:left="2422" w:hanging="720"/>
      </w:pPr>
      <w:rPr>
        <w:rFonts w:hint="eastAsia" w:ascii="Times New Roman" w:hAnsi="Times New Roman" w:eastAsia="黑体" w:cs="Times New Roman"/>
        <w:sz w:val="32"/>
        <w:szCs w:val="32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420"/>
        </w:tabs>
        <w:ind w:left="720" w:hanging="720"/>
      </w:pPr>
      <w:rPr>
        <w:rFonts w:hint="default" w:ascii="Times New Roman" w:hAnsi="Times New Roman" w:eastAsia="黑体" w:cs="Times New Roman"/>
        <w:sz w:val="32"/>
        <w:szCs w:val="32"/>
        <w:lang w:val="en-GB"/>
      </w:rPr>
    </w:lvl>
    <w:lvl w:ilvl="3" w:tentative="0">
      <w:start w:val="1"/>
      <w:numFmt w:val="decimal"/>
      <w:pStyle w:val="5"/>
      <w:isLgl/>
      <w:suff w:val="space"/>
      <w:lvlText w:val="%1.%2.%3.%4"/>
      <w:lvlJc w:val="left"/>
      <w:pPr>
        <w:tabs>
          <w:tab w:val="left" w:pos="420"/>
        </w:tabs>
        <w:ind w:left="1421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4" w:tentative="0">
      <w:start w:val="1"/>
      <w:numFmt w:val="decimal"/>
      <w:pStyle w:val="6"/>
      <w:isLgl/>
      <w:suff w:val="space"/>
      <w:lvlText w:val="%1.%2.%3.%4.%5"/>
      <w:lvlJc w:val="left"/>
      <w:pPr>
        <w:tabs>
          <w:tab w:val="left" w:pos="3114"/>
        </w:tabs>
        <w:ind w:left="4134" w:hanging="144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suff w:val="space"/>
      <w:lvlText w:val="%1.%2.%3.%4.%5.%6"/>
      <w:lvlJc w:val="left"/>
      <w:pPr>
        <w:tabs>
          <w:tab w:val="left" w:pos="0"/>
        </w:tabs>
        <w:ind w:left="1800" w:hanging="1800"/>
      </w:pPr>
      <w:rPr>
        <w:rFonts w:hint="default" w:ascii="Times New Roman" w:hAnsi="Times New Roman" w:cs="Times New Roman"/>
        <w:sz w:val="30"/>
        <w:szCs w:val="30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800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2160" w:hanging="216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1AB4"/>
    <w:rsid w:val="00172A27"/>
    <w:rsid w:val="002C662A"/>
    <w:rsid w:val="003D7293"/>
    <w:rsid w:val="00587A25"/>
    <w:rsid w:val="00AB2984"/>
    <w:rsid w:val="00C84E9F"/>
    <w:rsid w:val="00DC212E"/>
    <w:rsid w:val="00FC7714"/>
    <w:rsid w:val="06305139"/>
    <w:rsid w:val="06E43556"/>
    <w:rsid w:val="108E4375"/>
    <w:rsid w:val="1EB050D2"/>
    <w:rsid w:val="1EBE63BC"/>
    <w:rsid w:val="216105FB"/>
    <w:rsid w:val="230E6905"/>
    <w:rsid w:val="23CD204D"/>
    <w:rsid w:val="31EE0EC6"/>
    <w:rsid w:val="34B94701"/>
    <w:rsid w:val="3505376F"/>
    <w:rsid w:val="37FD7E8B"/>
    <w:rsid w:val="3A3366AA"/>
    <w:rsid w:val="3A3B5AE5"/>
    <w:rsid w:val="3B913DF5"/>
    <w:rsid w:val="41B60406"/>
    <w:rsid w:val="430F2B6B"/>
    <w:rsid w:val="43E13539"/>
    <w:rsid w:val="46182AFD"/>
    <w:rsid w:val="4A1E2EE1"/>
    <w:rsid w:val="4EB82803"/>
    <w:rsid w:val="4F9C2A71"/>
    <w:rsid w:val="563D4A97"/>
    <w:rsid w:val="566C3DBD"/>
    <w:rsid w:val="5FF75363"/>
    <w:rsid w:val="6314496C"/>
    <w:rsid w:val="68411680"/>
    <w:rsid w:val="6E0071A8"/>
    <w:rsid w:val="72557AA3"/>
    <w:rsid w:val="731B45D2"/>
    <w:rsid w:val="DAA7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Lines="50" w:afterLines="50"/>
      <w:ind w:firstLine="0"/>
      <w:outlineLvl w:val="2"/>
    </w:pPr>
    <w:rPr>
      <w:rFonts w:eastAsia="黑体" w:cs="Times New Roman"/>
      <w:sz w:val="32"/>
      <w:szCs w:val="32"/>
      <w:lang w:val="en-GB"/>
    </w:rPr>
  </w:style>
  <w:style w:type="paragraph" w:styleId="5">
    <w:name w:val="heading 4"/>
    <w:basedOn w:val="4"/>
    <w:next w:val="1"/>
    <w:unhideWhenUsed/>
    <w:qFormat/>
    <w:uiPriority w:val="9"/>
    <w:pPr>
      <w:numPr>
        <w:ilvl w:val="3"/>
      </w:numPr>
      <w:ind w:left="0" w:firstLine="709"/>
      <w:outlineLvl w:val="3"/>
    </w:pPr>
    <w:rPr>
      <w:lang w:val="en-US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numPr>
        <w:ilvl w:val="4"/>
        <w:numId w:val="1"/>
      </w:numPr>
      <w:tabs>
        <w:tab w:val="left" w:pos="420"/>
      </w:tabs>
      <w:spacing w:beforeLines="25" w:afterLines="25"/>
      <w:ind w:left="0" w:firstLine="708" w:firstLineChars="236"/>
      <w:jc w:val="left"/>
      <w:outlineLvl w:val="4"/>
    </w:pPr>
    <w:rPr>
      <w:rFonts w:eastAsia="黑体" w:cs="Times New Roman"/>
      <w:sz w:val="30"/>
      <w:szCs w:val="30"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link w:val="19"/>
    <w:qFormat/>
    <w:uiPriority w:val="99"/>
    <w:pPr>
      <w:spacing w:after="120"/>
    </w:pPr>
    <w:rPr>
      <w:rFonts w:ascii="Calibri" w:hAnsi="Calibri" w:cs="Times New Roman"/>
    </w:rPr>
  </w:style>
  <w:style w:type="paragraph" w:styleId="10">
    <w:name w:val="toc 3"/>
    <w:basedOn w:val="1"/>
    <w:next w:val="1"/>
    <w:qFormat/>
    <w:uiPriority w:val="0"/>
    <w:pPr>
      <w:ind w:left="840" w:leftChars="400"/>
    </w:pPr>
  </w:style>
  <w:style w:type="paragraph" w:styleId="11">
    <w:name w:val="Balloon Text"/>
    <w:basedOn w:val="1"/>
    <w:link w:val="24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toc 1"/>
    <w:basedOn w:val="1"/>
    <w:next w:val="1"/>
    <w:qFormat/>
    <w:uiPriority w:val="0"/>
  </w:style>
  <w:style w:type="paragraph" w:styleId="15">
    <w:name w:val="toc 2"/>
    <w:basedOn w:val="1"/>
    <w:next w:val="1"/>
    <w:qFormat/>
    <w:uiPriority w:val="0"/>
    <w:pPr>
      <w:ind w:left="420" w:leftChars="200"/>
    </w:pPr>
  </w:style>
  <w:style w:type="paragraph" w:styleId="1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customStyle="1" w:styleId="19">
    <w:name w:val="正文文本 Char"/>
    <w:basedOn w:val="18"/>
    <w:link w:val="9"/>
    <w:qFormat/>
    <w:uiPriority w:val="0"/>
    <w:rPr>
      <w:rFonts w:hint="eastAsia" w:ascii="宋体" w:hAnsi="宋体" w:eastAsia="仿宋" w:cs="宋体"/>
      <w:kern w:val="2"/>
      <w:sz w:val="24"/>
    </w:rPr>
  </w:style>
  <w:style w:type="paragraph" w:customStyle="1" w:styleId="20">
    <w:name w:val="y.正文"/>
    <w:basedOn w:val="1"/>
    <w:qFormat/>
    <w:uiPriority w:val="0"/>
    <w:rPr>
      <w:rFonts w:cs="宋体"/>
    </w:rPr>
  </w:style>
  <w:style w:type="paragraph" w:customStyle="1" w:styleId="21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2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3">
    <w:name w:val="WPSOffice手动目录 3"/>
    <w:qFormat/>
    <w:uiPriority w:val="0"/>
    <w:pPr>
      <w:ind w:left="400" w:leftChars="4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批注框文本 Char"/>
    <w:basedOn w:val="18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654</Words>
  <Characters>3734</Characters>
  <Lines>31</Lines>
  <Paragraphs>8</Paragraphs>
  <TotalTime>17</TotalTime>
  <ScaleCrop>false</ScaleCrop>
  <LinksUpToDate>false</LinksUpToDate>
  <CharactersWithSpaces>4380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2025-04-24T10:03:00Z</dcterms:created>
  <dc:creator>莫青春</dc:creator>
  <cp:lastModifiedBy>邓荣成</cp:lastModifiedBy>
  <dcterms:modified xsi:type="dcterms:W3CDTF">2025-06-04T10:13:59Z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D9190EA3A57C42EC830B73BE6C91B5E8_13</vt:lpwstr>
  </property>
  <property fmtid="{D5CDD505-2E9C-101B-9397-08002B2CF9AE}" pid="4" name="KSOTemplateDocerSaveRecord">
    <vt:lpwstr>eyJoZGlkIjoiOTkyNjgyZDM3Mzk4OTJkMGRhMDVkZmUxOGNiNmU1OGUiLCJ1c2VySWQiOiIyODQzMDI5NzEifQ==</vt:lpwstr>
  </property>
</Properties>
</file>