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B5C84" w:rsidRPr="00934CDC" w:rsidRDefault="008F0BD8" w:rsidP="00D647FA">
      <w:pPr>
        <w:adjustRightInd w:val="0"/>
        <w:snapToGrid w:val="0"/>
        <w:spacing w:line="600" w:lineRule="exact"/>
        <w:rPr>
          <w:rFonts w:ascii="仿宋" w:eastAsia="仿宋" w:hAnsi="仿宋" w:cs="Times New Roman"/>
          <w:sz w:val="32"/>
          <w:szCs w:val="32"/>
        </w:rPr>
      </w:pPr>
      <w:r w:rsidRPr="00934CDC">
        <w:rPr>
          <w:rFonts w:ascii="仿宋" w:eastAsia="仿宋" w:hAnsi="仿宋" w:cs="Times New Roman"/>
          <w:sz w:val="32"/>
          <w:szCs w:val="32"/>
        </w:rPr>
        <w:t>附件</w:t>
      </w:r>
      <w:r w:rsidR="000D6255">
        <w:rPr>
          <w:rFonts w:ascii="仿宋" w:eastAsia="仿宋" w:hAnsi="仿宋" w:cs="Times New Roman"/>
          <w:sz w:val="32"/>
          <w:szCs w:val="32"/>
        </w:rPr>
        <w:t>3</w:t>
      </w:r>
      <w:r w:rsidR="003C5A95">
        <w:rPr>
          <w:rFonts w:ascii="仿宋" w:eastAsia="仿宋" w:hAnsi="仿宋" w:cs="Times New Roman"/>
          <w:sz w:val="32"/>
          <w:szCs w:val="32"/>
        </w:rPr>
        <w:t>1</w:t>
      </w:r>
    </w:p>
    <w:p w:rsidR="00CB5C84" w:rsidRDefault="008F0BD8" w:rsidP="00D647FA">
      <w:pPr>
        <w:adjustRightInd w:val="0"/>
        <w:snapToGrid w:val="0"/>
        <w:spacing w:line="600" w:lineRule="exact"/>
        <w:jc w:val="center"/>
        <w:rPr>
          <w:rFonts w:ascii="Times New Roman" w:eastAsia="方正小标宋简体" w:hAnsi="Times New Roman" w:cs="Times New Roman"/>
          <w:spacing w:val="-12"/>
          <w:sz w:val="44"/>
          <w:szCs w:val="44"/>
        </w:rPr>
      </w:pPr>
      <w:r>
        <w:rPr>
          <w:rFonts w:ascii="Times New Roman" w:eastAsia="方正小标宋简体" w:hAnsi="Times New Roman" w:cs="Times New Roman"/>
          <w:spacing w:val="-12"/>
          <w:sz w:val="44"/>
          <w:szCs w:val="44"/>
        </w:rPr>
        <w:t>不合格项目的小知识</w:t>
      </w:r>
    </w:p>
    <w:p w:rsidR="00CB5C84" w:rsidRPr="00E859FE" w:rsidRDefault="00CB5C84" w:rsidP="00D647FA">
      <w:pPr>
        <w:adjustRightInd w:val="0"/>
        <w:snapToGrid w:val="0"/>
        <w:spacing w:line="600" w:lineRule="exact"/>
        <w:jc w:val="center"/>
        <w:rPr>
          <w:rFonts w:ascii="Times New Roman" w:eastAsia="方正小标宋简体" w:hAnsi="Times New Roman" w:cs="Times New Roman"/>
          <w:spacing w:val="-12"/>
          <w:sz w:val="32"/>
          <w:szCs w:val="32"/>
        </w:rPr>
      </w:pPr>
    </w:p>
    <w:p w:rsidR="00CD0A57" w:rsidRDefault="00CD0A57" w:rsidP="00B447A0">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大</w:t>
      </w:r>
      <w:r>
        <w:rPr>
          <w:rFonts w:ascii="黑体" w:eastAsia="黑体" w:hAnsi="黑体" w:cs="Arial"/>
          <w:kern w:val="0"/>
          <w:sz w:val="32"/>
          <w:szCs w:val="32"/>
        </w:rPr>
        <w:t>肠菌群</w:t>
      </w:r>
    </w:p>
    <w:p w:rsidR="00CD0A57" w:rsidRPr="00CD0A57" w:rsidRDefault="00CD0A57" w:rsidP="00CD0A57">
      <w:pPr>
        <w:adjustRightInd w:val="0"/>
        <w:snapToGrid w:val="0"/>
        <w:spacing w:line="600" w:lineRule="exact"/>
        <w:ind w:firstLineChars="200" w:firstLine="640"/>
        <w:rPr>
          <w:rFonts w:ascii="仿宋_GB2312" w:eastAsia="仿宋_GB2312" w:hAnsi="Times New Roman" w:cs="Times New Roman"/>
          <w:sz w:val="32"/>
          <w:szCs w:val="32"/>
        </w:rPr>
      </w:pPr>
      <w:r w:rsidRPr="00CD0A57">
        <w:rPr>
          <w:rFonts w:ascii="仿宋_GB2312" w:eastAsia="仿宋_GB2312" w:hAnsi="Times New Roman" w:cs="Times New Roman" w:hint="eastAsia"/>
          <w:sz w:val="32"/>
          <w:szCs w:val="32"/>
        </w:rPr>
        <w:t>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造成大肠菌群超标的原因，可能是产品的加工原料、包装材料受污染，或在生产过程中产品受到人员、工器具等生产设</w:t>
      </w:r>
      <w:r w:rsidRPr="00CD0A57">
        <w:rPr>
          <w:rFonts w:ascii="仿宋_GB2312" w:eastAsia="仿宋_GB2312" w:hAnsi="Times New Roman" w:cs="Times New Roman" w:hint="eastAsia"/>
          <w:sz w:val="32"/>
          <w:szCs w:val="32"/>
        </w:rPr>
        <w:lastRenderedPageBreak/>
        <w:t>备、环境的污染，有加热处理工艺的产品加热不彻底而导致。</w:t>
      </w:r>
    </w:p>
    <w:p w:rsidR="00CD5E58" w:rsidRDefault="00CD5E58" w:rsidP="00CD5E58">
      <w:pPr>
        <w:pStyle w:val="af"/>
        <w:numPr>
          <w:ilvl w:val="0"/>
          <w:numId w:val="1"/>
        </w:numPr>
        <w:adjustRightInd w:val="0"/>
        <w:snapToGrid w:val="0"/>
        <w:spacing w:line="600" w:lineRule="exact"/>
        <w:ind w:firstLineChars="0"/>
        <w:rPr>
          <w:rFonts w:ascii="黑体" w:eastAsia="黑体" w:hAnsi="黑体" w:cs="Arial"/>
          <w:kern w:val="0"/>
          <w:sz w:val="32"/>
          <w:szCs w:val="32"/>
        </w:rPr>
      </w:pPr>
      <w:r w:rsidRPr="000D6255">
        <w:rPr>
          <w:rFonts w:ascii="黑体" w:eastAsia="黑体" w:hAnsi="黑体" w:cs="Arial" w:hint="eastAsia"/>
          <w:kern w:val="0"/>
          <w:sz w:val="32"/>
          <w:szCs w:val="32"/>
        </w:rPr>
        <w:t>咪鲜胺和咪鲜胺锰盐</w:t>
      </w:r>
    </w:p>
    <w:p w:rsidR="00CD5E58" w:rsidRPr="00CD5E58" w:rsidRDefault="00CD5E58" w:rsidP="00CD5E58">
      <w:pPr>
        <w:adjustRightInd w:val="0"/>
        <w:snapToGrid w:val="0"/>
        <w:spacing w:line="600" w:lineRule="exact"/>
        <w:ind w:firstLineChars="200" w:firstLine="640"/>
        <w:rPr>
          <w:rFonts w:ascii="仿宋_GB2312" w:eastAsia="仿宋_GB2312" w:hAnsi="Times New Roman" w:cs="Times New Roman"/>
          <w:sz w:val="32"/>
          <w:szCs w:val="32"/>
        </w:rPr>
      </w:pPr>
      <w:r w:rsidRPr="00026A4D">
        <w:rPr>
          <w:rFonts w:ascii="仿宋_GB2312" w:eastAsia="仿宋_GB2312" w:hAnsi="Times New Roman" w:cs="Times New Roman" w:hint="eastAsia"/>
          <w:sz w:val="32"/>
          <w:szCs w:val="32"/>
        </w:rPr>
        <w:t>咪鲜胺</w:t>
      </w:r>
      <w:r>
        <w:rPr>
          <w:rFonts w:ascii="仿宋_GB2312" w:eastAsia="仿宋_GB2312" w:hAnsi="Times New Roman" w:cs="Times New Roman" w:hint="eastAsia"/>
          <w:sz w:val="32"/>
          <w:szCs w:val="32"/>
        </w:rPr>
        <w:t>和</w:t>
      </w:r>
      <w:r w:rsidRPr="00026A4D">
        <w:rPr>
          <w:rFonts w:ascii="仿宋_GB2312" w:eastAsia="仿宋_GB2312" w:hAnsi="Times New Roman" w:cs="Times New Roman" w:hint="eastAsia"/>
          <w:sz w:val="32"/>
          <w:szCs w:val="32"/>
        </w:rPr>
        <w:t>咪鲜胺</w:t>
      </w:r>
      <w:r>
        <w:rPr>
          <w:rFonts w:ascii="仿宋_GB2312" w:eastAsia="仿宋_GB2312" w:hAnsi="Times New Roman" w:cs="Times New Roman" w:hint="eastAsia"/>
          <w:sz w:val="32"/>
          <w:szCs w:val="32"/>
        </w:rPr>
        <w:t>锰</w:t>
      </w:r>
      <w:r>
        <w:rPr>
          <w:rFonts w:ascii="仿宋_GB2312" w:eastAsia="仿宋_GB2312" w:hAnsi="Times New Roman" w:cs="Times New Roman"/>
          <w:sz w:val="32"/>
          <w:szCs w:val="32"/>
        </w:rPr>
        <w:t>盐是一种</w:t>
      </w:r>
      <w:r>
        <w:rPr>
          <w:rFonts w:ascii="仿宋_GB2312" w:eastAsia="仿宋_GB2312" w:hAnsi="Times New Roman" w:cs="Times New Roman" w:hint="eastAsia"/>
          <w:sz w:val="32"/>
          <w:szCs w:val="32"/>
        </w:rPr>
        <w:t>广</w:t>
      </w:r>
      <w:r>
        <w:rPr>
          <w:rFonts w:ascii="仿宋_GB2312" w:eastAsia="仿宋_GB2312" w:hAnsi="Times New Roman" w:cs="Times New Roman"/>
          <w:sz w:val="32"/>
          <w:szCs w:val="32"/>
        </w:rPr>
        <w:t>谱高效杀菌剂</w:t>
      </w:r>
      <w:r>
        <w:rPr>
          <w:rFonts w:ascii="仿宋_GB2312" w:eastAsia="仿宋_GB2312" w:hAnsi="Times New Roman" w:cs="Times New Roman" w:hint="eastAsia"/>
          <w:sz w:val="32"/>
          <w:szCs w:val="32"/>
        </w:rPr>
        <w:t>。急性</w:t>
      </w:r>
      <w:r>
        <w:rPr>
          <w:rFonts w:ascii="仿宋_GB2312" w:eastAsia="仿宋_GB2312" w:hAnsi="Times New Roman" w:cs="Times New Roman"/>
          <w:sz w:val="32"/>
          <w:szCs w:val="32"/>
        </w:rPr>
        <w:t>毒性分级标准为低毒</w:t>
      </w:r>
      <w:r>
        <w:rPr>
          <w:rFonts w:ascii="仿宋_GB2312" w:eastAsia="仿宋_GB2312" w:hAnsi="Times New Roman" w:cs="Times New Roman" w:hint="eastAsia"/>
          <w:sz w:val="32"/>
          <w:szCs w:val="32"/>
        </w:rPr>
        <w:t>级</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一</w:t>
      </w:r>
      <w:r>
        <w:rPr>
          <w:rFonts w:ascii="仿宋_GB2312" w:eastAsia="仿宋_GB2312" w:hAnsi="Times New Roman" w:cs="Times New Roman"/>
          <w:sz w:val="32"/>
          <w:szCs w:val="32"/>
        </w:rPr>
        <w:t>般</w:t>
      </w:r>
      <w:r>
        <w:rPr>
          <w:rFonts w:ascii="仿宋_GB2312" w:eastAsia="仿宋_GB2312" w:hAnsi="Times New Roman" w:cs="Times New Roman" w:hint="eastAsia"/>
          <w:sz w:val="32"/>
          <w:szCs w:val="32"/>
        </w:rPr>
        <w:t>只</w:t>
      </w:r>
      <w:r>
        <w:rPr>
          <w:rFonts w:ascii="仿宋_GB2312" w:eastAsia="仿宋_GB2312" w:hAnsi="Times New Roman" w:cs="Times New Roman"/>
          <w:sz w:val="32"/>
          <w:szCs w:val="32"/>
        </w:rPr>
        <w:t>对</w:t>
      </w:r>
      <w:r>
        <w:rPr>
          <w:rFonts w:ascii="仿宋_GB2312" w:eastAsia="仿宋_GB2312" w:hAnsi="Times New Roman" w:cs="Times New Roman" w:hint="eastAsia"/>
          <w:sz w:val="32"/>
          <w:szCs w:val="32"/>
        </w:rPr>
        <w:t>皮肤</w:t>
      </w:r>
      <w:r>
        <w:rPr>
          <w:rFonts w:ascii="仿宋_GB2312" w:eastAsia="仿宋_GB2312" w:hAnsi="Times New Roman" w:cs="Times New Roman"/>
          <w:sz w:val="32"/>
          <w:szCs w:val="32"/>
        </w:rPr>
        <w:t>、眼有刺激症状，经口中毒低，无中毒报道。</w:t>
      </w:r>
      <w:r>
        <w:rPr>
          <w:rFonts w:ascii="仿宋_GB2312" w:eastAsia="仿宋_GB2312" w:hAnsi="Times New Roman" w:cs="Times New Roman" w:hint="eastAsia"/>
          <w:sz w:val="32"/>
          <w:szCs w:val="32"/>
        </w:rPr>
        <w:t>少</w:t>
      </w:r>
      <w:r>
        <w:rPr>
          <w:rFonts w:ascii="仿宋_GB2312" w:eastAsia="仿宋_GB2312" w:hAnsi="Times New Roman" w:cs="Times New Roman"/>
          <w:sz w:val="32"/>
          <w:szCs w:val="32"/>
        </w:rPr>
        <w:t>量的农药残留不会引起人体急性中毒，但长期食用</w:t>
      </w:r>
      <w:r w:rsidRPr="00026A4D">
        <w:rPr>
          <w:rFonts w:ascii="仿宋_GB2312" w:eastAsia="仿宋_GB2312" w:hAnsi="Times New Roman" w:cs="Times New Roman" w:hint="eastAsia"/>
          <w:sz w:val="32"/>
          <w:szCs w:val="32"/>
        </w:rPr>
        <w:t>咪鲜胺</w:t>
      </w:r>
      <w:r>
        <w:rPr>
          <w:rFonts w:ascii="仿宋_GB2312" w:eastAsia="仿宋_GB2312" w:hAnsi="Times New Roman" w:cs="Times New Roman" w:hint="eastAsia"/>
          <w:sz w:val="32"/>
          <w:szCs w:val="32"/>
        </w:rPr>
        <w:t>超标</w:t>
      </w:r>
      <w:r>
        <w:rPr>
          <w:rFonts w:ascii="仿宋_GB2312" w:eastAsia="仿宋_GB2312" w:hAnsi="Times New Roman" w:cs="Times New Roman"/>
          <w:sz w:val="32"/>
          <w:szCs w:val="32"/>
        </w:rPr>
        <w:t>的食品，</w:t>
      </w:r>
      <w:r>
        <w:rPr>
          <w:rFonts w:ascii="仿宋_GB2312" w:eastAsia="仿宋_GB2312" w:hAnsi="Times New Roman" w:cs="Times New Roman" w:hint="eastAsia"/>
          <w:sz w:val="32"/>
          <w:szCs w:val="32"/>
        </w:rPr>
        <w:t>对</w:t>
      </w:r>
      <w:r>
        <w:rPr>
          <w:rFonts w:ascii="仿宋_GB2312" w:eastAsia="仿宋_GB2312" w:hAnsi="Times New Roman" w:cs="Times New Roman"/>
          <w:sz w:val="32"/>
          <w:szCs w:val="32"/>
        </w:rPr>
        <w:t>人体健康可能有一定影响。</w:t>
      </w:r>
    </w:p>
    <w:p w:rsidR="003C5A95" w:rsidRDefault="003C5A95" w:rsidP="003C5A95">
      <w:pPr>
        <w:pStyle w:val="af"/>
        <w:numPr>
          <w:ilvl w:val="0"/>
          <w:numId w:val="1"/>
        </w:numPr>
        <w:adjustRightInd w:val="0"/>
        <w:snapToGrid w:val="0"/>
        <w:spacing w:line="600" w:lineRule="exact"/>
        <w:ind w:firstLineChars="0"/>
        <w:rPr>
          <w:rFonts w:ascii="黑体" w:eastAsia="黑体" w:hAnsi="黑体" w:cs="Arial"/>
          <w:kern w:val="0"/>
          <w:sz w:val="32"/>
          <w:szCs w:val="32"/>
        </w:rPr>
      </w:pPr>
      <w:r w:rsidRPr="003C5A95">
        <w:rPr>
          <w:rFonts w:ascii="黑体" w:eastAsia="黑体" w:hAnsi="黑体" w:cs="Arial" w:hint="eastAsia"/>
          <w:kern w:val="0"/>
          <w:sz w:val="32"/>
          <w:szCs w:val="32"/>
        </w:rPr>
        <w:t>氯霉素</w:t>
      </w:r>
    </w:p>
    <w:p w:rsidR="00CD5E58" w:rsidRPr="00CD5E58" w:rsidRDefault="00DD30FE" w:rsidP="00CD5E58">
      <w:pPr>
        <w:adjustRightInd w:val="0"/>
        <w:snapToGrid w:val="0"/>
        <w:spacing w:line="600" w:lineRule="exact"/>
        <w:ind w:firstLineChars="200" w:firstLine="640"/>
        <w:rPr>
          <w:rFonts w:ascii="仿宋_GB2312" w:eastAsia="仿宋_GB2312" w:hAnsi="Times New Roman" w:cs="Times New Roman"/>
          <w:sz w:val="32"/>
          <w:szCs w:val="32"/>
        </w:rPr>
      </w:pPr>
      <w:r w:rsidRPr="00DD30FE">
        <w:rPr>
          <w:rFonts w:ascii="仿宋_GB2312" w:eastAsia="仿宋_GB2312" w:hAnsi="Times New Roman" w:cs="Times New Roman" w:hint="eastAsia"/>
          <w:sz w:val="32"/>
          <w:szCs w:val="32"/>
        </w:rPr>
        <w:t>氯霉素是酰胺醇类抗生素。</w:t>
      </w:r>
      <w:r>
        <w:rPr>
          <w:rFonts w:ascii="仿宋_GB2312" w:eastAsia="仿宋_GB2312" w:hAnsi="Times New Roman" w:cs="Times New Roman" w:hint="eastAsia"/>
          <w:sz w:val="32"/>
          <w:szCs w:val="32"/>
        </w:rPr>
        <w:t>动物产</w:t>
      </w:r>
      <w:r>
        <w:rPr>
          <w:rFonts w:ascii="仿宋_GB2312" w:eastAsia="仿宋_GB2312" w:hAnsi="Times New Roman" w:cs="Times New Roman"/>
          <w:sz w:val="32"/>
          <w:szCs w:val="32"/>
        </w:rPr>
        <w:t>品的氯霉素残留，一般不会导致对人体的急性毒性作用；</w:t>
      </w:r>
      <w:r w:rsidRPr="00DD30FE">
        <w:rPr>
          <w:rFonts w:ascii="仿宋_GB2312" w:eastAsia="仿宋_GB2312" w:hAnsi="Times New Roman" w:cs="Times New Roman" w:hint="eastAsia"/>
          <w:sz w:val="32"/>
          <w:szCs w:val="32"/>
        </w:rPr>
        <w:t>长期</w:t>
      </w:r>
      <w:r>
        <w:rPr>
          <w:rFonts w:ascii="仿宋_GB2312" w:eastAsia="仿宋_GB2312" w:hAnsi="Times New Roman" w:cs="Times New Roman" w:hint="eastAsia"/>
          <w:sz w:val="32"/>
          <w:szCs w:val="32"/>
        </w:rPr>
        <w:t>大量</w:t>
      </w:r>
      <w:r>
        <w:rPr>
          <w:rFonts w:ascii="仿宋_GB2312" w:eastAsia="仿宋_GB2312" w:hAnsi="Times New Roman" w:cs="Times New Roman"/>
          <w:sz w:val="32"/>
          <w:szCs w:val="32"/>
        </w:rPr>
        <w:t>摄入</w:t>
      </w:r>
      <w:r w:rsidRPr="00DD30FE">
        <w:rPr>
          <w:rFonts w:ascii="仿宋_GB2312" w:eastAsia="仿宋_GB2312" w:hAnsi="Times New Roman" w:cs="Times New Roman" w:hint="eastAsia"/>
          <w:sz w:val="32"/>
          <w:szCs w:val="32"/>
        </w:rPr>
        <w:t>氯霉素</w:t>
      </w:r>
      <w:r>
        <w:rPr>
          <w:rFonts w:ascii="仿宋_GB2312" w:eastAsia="仿宋_GB2312" w:hAnsi="Times New Roman" w:cs="Times New Roman" w:hint="eastAsia"/>
          <w:sz w:val="32"/>
          <w:szCs w:val="32"/>
        </w:rPr>
        <w:t>残留</w:t>
      </w:r>
      <w:r>
        <w:rPr>
          <w:rFonts w:ascii="仿宋_GB2312" w:eastAsia="仿宋_GB2312" w:hAnsi="Times New Roman" w:cs="Times New Roman"/>
          <w:sz w:val="32"/>
          <w:szCs w:val="32"/>
        </w:rPr>
        <w:t>超标</w:t>
      </w:r>
      <w:r w:rsidRPr="00DD30FE">
        <w:rPr>
          <w:rFonts w:ascii="仿宋_GB2312" w:eastAsia="仿宋_GB2312" w:hAnsi="Times New Roman" w:cs="Times New Roman" w:hint="eastAsia"/>
          <w:sz w:val="32"/>
          <w:szCs w:val="32"/>
        </w:rPr>
        <w:t>的食品，可能</w:t>
      </w:r>
      <w:r>
        <w:rPr>
          <w:rFonts w:ascii="仿宋_GB2312" w:eastAsia="仿宋_GB2312" w:hAnsi="Times New Roman" w:cs="Times New Roman" w:hint="eastAsia"/>
          <w:sz w:val="32"/>
          <w:szCs w:val="32"/>
        </w:rPr>
        <w:t>在</w:t>
      </w:r>
      <w:r>
        <w:rPr>
          <w:rFonts w:ascii="仿宋_GB2312" w:eastAsia="仿宋_GB2312" w:hAnsi="Times New Roman" w:cs="Times New Roman"/>
          <w:sz w:val="32"/>
          <w:szCs w:val="32"/>
        </w:rPr>
        <w:t>人本内蓄积，产生耐药并对同类药物有交叉耐药，</w:t>
      </w:r>
      <w:r w:rsidRPr="00DD30FE">
        <w:rPr>
          <w:rFonts w:ascii="仿宋_GB2312" w:eastAsia="仿宋_GB2312" w:hAnsi="Times New Roman" w:cs="Times New Roman" w:hint="eastAsia"/>
          <w:sz w:val="32"/>
          <w:szCs w:val="32"/>
        </w:rPr>
        <w:t>引起</w:t>
      </w:r>
      <w:r>
        <w:rPr>
          <w:rFonts w:ascii="仿宋_GB2312" w:eastAsia="仿宋_GB2312" w:hAnsi="Times New Roman" w:cs="Times New Roman" w:hint="eastAsia"/>
          <w:sz w:val="32"/>
          <w:szCs w:val="32"/>
        </w:rPr>
        <w:t>胃肠</w:t>
      </w:r>
      <w:r>
        <w:rPr>
          <w:rFonts w:ascii="仿宋_GB2312" w:eastAsia="仿宋_GB2312" w:hAnsi="Times New Roman" w:cs="Times New Roman"/>
          <w:sz w:val="32"/>
          <w:szCs w:val="32"/>
        </w:rPr>
        <w:t>道症状、肝功能异常、血液系统</w:t>
      </w:r>
      <w:r>
        <w:rPr>
          <w:rFonts w:ascii="仿宋_GB2312" w:eastAsia="仿宋_GB2312" w:hAnsi="Times New Roman" w:cs="Times New Roman" w:hint="eastAsia"/>
          <w:sz w:val="32"/>
          <w:szCs w:val="32"/>
        </w:rPr>
        <w:t>异常</w:t>
      </w:r>
      <w:r>
        <w:rPr>
          <w:rFonts w:ascii="仿宋_GB2312" w:eastAsia="仿宋_GB2312" w:hAnsi="Times New Roman" w:cs="Times New Roman"/>
          <w:sz w:val="32"/>
          <w:szCs w:val="32"/>
        </w:rPr>
        <w:t>以及表现为神经系统毒性、过敏反应等</w:t>
      </w:r>
      <w:r w:rsidRPr="00DD30FE">
        <w:rPr>
          <w:rFonts w:ascii="仿宋_GB2312" w:eastAsia="仿宋_GB2312" w:hAnsi="Times New Roman" w:cs="Times New Roman" w:hint="eastAsia"/>
          <w:sz w:val="32"/>
          <w:szCs w:val="32"/>
        </w:rPr>
        <w:t>。</w:t>
      </w:r>
      <w:r w:rsidR="003E3244">
        <w:rPr>
          <w:rFonts w:ascii="仿宋_GB2312" w:eastAsia="仿宋_GB2312" w:hAnsi="Times New Roman" w:cs="Times New Roman" w:hint="eastAsia"/>
          <w:sz w:val="32"/>
          <w:szCs w:val="32"/>
        </w:rPr>
        <w:t>因</w:t>
      </w:r>
      <w:r w:rsidR="003E3244">
        <w:rPr>
          <w:rFonts w:ascii="仿宋_GB2312" w:eastAsia="仿宋_GB2312" w:hAnsi="Times New Roman" w:cs="Times New Roman"/>
          <w:sz w:val="32"/>
          <w:szCs w:val="32"/>
        </w:rPr>
        <w:t>氯霉素的不良反应较大，</w:t>
      </w:r>
      <w:r w:rsidRPr="003E3244">
        <w:rPr>
          <w:rFonts w:ascii="仿宋_GB2312" w:eastAsia="仿宋_GB2312" w:hAnsi="Times New Roman" w:cs="Times New Roman" w:hint="eastAsia"/>
          <w:sz w:val="32"/>
          <w:szCs w:val="32"/>
        </w:rPr>
        <w:t>我国</w:t>
      </w:r>
      <w:r w:rsidR="003E3244" w:rsidRPr="003E3244">
        <w:rPr>
          <w:rFonts w:ascii="仿宋_GB2312" w:eastAsia="仿宋_GB2312" w:hAnsi="Times New Roman" w:cs="Times New Roman" w:hint="eastAsia"/>
          <w:sz w:val="32"/>
          <w:szCs w:val="32"/>
        </w:rPr>
        <w:t>规定</w:t>
      </w:r>
      <w:r w:rsidR="003E3244" w:rsidRPr="003E3244">
        <w:rPr>
          <w:rFonts w:ascii="仿宋_GB2312" w:eastAsia="仿宋_GB2312" w:hAnsi="Times New Roman" w:cs="Times New Roman"/>
          <w:sz w:val="32"/>
          <w:szCs w:val="32"/>
        </w:rPr>
        <w:t>在食用动物</w:t>
      </w:r>
      <w:r w:rsidRPr="003E3244">
        <w:rPr>
          <w:rFonts w:ascii="仿宋_GB2312" w:eastAsia="仿宋_GB2312" w:hAnsi="Times New Roman" w:cs="Times New Roman" w:hint="eastAsia"/>
          <w:sz w:val="32"/>
          <w:szCs w:val="32"/>
        </w:rPr>
        <w:t>中</w:t>
      </w:r>
      <w:r w:rsidR="003E3244" w:rsidRPr="003E3244">
        <w:rPr>
          <w:rFonts w:ascii="仿宋_GB2312" w:eastAsia="仿宋_GB2312" w:hAnsi="Times New Roman" w:cs="Times New Roman" w:hint="eastAsia"/>
          <w:sz w:val="32"/>
          <w:szCs w:val="32"/>
        </w:rPr>
        <w:t>禁止</w:t>
      </w:r>
      <w:r w:rsidR="003E3244" w:rsidRPr="003E3244">
        <w:rPr>
          <w:rFonts w:ascii="仿宋_GB2312" w:eastAsia="仿宋_GB2312" w:hAnsi="Times New Roman" w:cs="Times New Roman"/>
          <w:sz w:val="32"/>
          <w:szCs w:val="32"/>
        </w:rPr>
        <w:t>使用。</w:t>
      </w:r>
      <w:r w:rsidR="003E3244" w:rsidRPr="003E3244">
        <w:rPr>
          <w:rFonts w:ascii="仿宋_GB2312" w:eastAsia="仿宋_GB2312" w:hAnsi="Times New Roman" w:cs="Times New Roman" w:hint="eastAsia"/>
          <w:sz w:val="32"/>
          <w:szCs w:val="32"/>
        </w:rPr>
        <w:t>但由于</w:t>
      </w:r>
      <w:r w:rsidRPr="003E3244">
        <w:rPr>
          <w:rFonts w:ascii="仿宋_GB2312" w:eastAsia="仿宋_GB2312" w:hAnsi="Times New Roman" w:cs="Times New Roman" w:hint="eastAsia"/>
          <w:sz w:val="32"/>
          <w:szCs w:val="32"/>
        </w:rPr>
        <w:t>氯霉素</w:t>
      </w:r>
      <w:r w:rsidR="003E3244" w:rsidRPr="003E3244">
        <w:rPr>
          <w:rFonts w:ascii="仿宋_GB2312" w:eastAsia="仿宋_GB2312" w:hAnsi="Times New Roman" w:cs="Times New Roman" w:hint="eastAsia"/>
          <w:sz w:val="32"/>
          <w:szCs w:val="32"/>
        </w:rPr>
        <w:t>的</w:t>
      </w:r>
      <w:r w:rsidR="003E3244" w:rsidRPr="003E3244">
        <w:rPr>
          <w:rFonts w:ascii="仿宋_GB2312" w:eastAsia="仿宋_GB2312" w:hAnsi="Times New Roman" w:cs="Times New Roman"/>
          <w:sz w:val="32"/>
          <w:szCs w:val="32"/>
        </w:rPr>
        <w:t>抑菌效果好，以及相对廉价，目前仍有少数生产经营企业将其用于家禽、畜类以及水产品中。</w:t>
      </w:r>
    </w:p>
    <w:p w:rsidR="00CD5E58" w:rsidRPr="003E3244" w:rsidRDefault="003C5A95" w:rsidP="003C5A95">
      <w:pPr>
        <w:pStyle w:val="af"/>
        <w:numPr>
          <w:ilvl w:val="0"/>
          <w:numId w:val="1"/>
        </w:numPr>
        <w:adjustRightInd w:val="0"/>
        <w:snapToGrid w:val="0"/>
        <w:spacing w:line="600" w:lineRule="exact"/>
        <w:ind w:firstLineChars="0"/>
        <w:rPr>
          <w:rFonts w:ascii="黑体" w:eastAsia="黑体" w:hAnsi="黑体" w:cs="Arial"/>
          <w:spacing w:val="-10"/>
          <w:kern w:val="0"/>
          <w:sz w:val="32"/>
          <w:szCs w:val="32"/>
        </w:rPr>
      </w:pPr>
      <w:r w:rsidRPr="003E3244">
        <w:rPr>
          <w:rFonts w:ascii="黑体" w:eastAsia="黑体" w:hAnsi="黑体" w:cs="Arial" w:hint="eastAsia"/>
          <w:spacing w:val="-10"/>
          <w:kern w:val="0"/>
          <w:sz w:val="32"/>
          <w:szCs w:val="32"/>
        </w:rPr>
        <w:t>防腐剂混合使用时各自用量占其最大使用量的比例之和</w:t>
      </w:r>
    </w:p>
    <w:p w:rsidR="00CD5E58" w:rsidRPr="00CD5E58" w:rsidRDefault="002B4283" w:rsidP="00CD5E58">
      <w:pPr>
        <w:adjustRightInd w:val="0"/>
        <w:snapToGrid w:val="0"/>
        <w:spacing w:line="600" w:lineRule="exact"/>
        <w:ind w:firstLineChars="200" w:firstLine="640"/>
        <w:rPr>
          <w:rFonts w:ascii="仿宋_GB2312" w:eastAsia="仿宋_GB2312" w:hAnsi="Times New Roman" w:cs="Times New Roman"/>
          <w:sz w:val="32"/>
          <w:szCs w:val="32"/>
        </w:rPr>
      </w:pPr>
      <w:r w:rsidRPr="002B4283">
        <w:rPr>
          <w:rFonts w:ascii="仿宋_GB2312" w:eastAsia="仿宋_GB2312" w:hAnsi="Times New Roman" w:cs="Times New Roman" w:hint="eastAsia"/>
          <w:sz w:val="32"/>
          <w:szCs w:val="32"/>
        </w:rPr>
        <w:t>防腐剂是常见的食品添加剂，指天然或合成的化学成分，用于延缓或抑制由微生物引起的食品腐败变质。</w:t>
      </w:r>
      <w:r>
        <w:rPr>
          <w:rFonts w:ascii="仿宋_GB2312" w:eastAsia="仿宋_GB2312" w:hAnsi="Times New Roman" w:cs="Times New Roman" w:hint="eastAsia"/>
          <w:sz w:val="32"/>
          <w:szCs w:val="32"/>
        </w:rPr>
        <w:t>在</w:t>
      </w:r>
      <w:r w:rsidRPr="002B4283">
        <w:rPr>
          <w:rFonts w:ascii="仿宋_GB2312" w:eastAsia="仿宋_GB2312" w:hAnsi="Times New Roman" w:cs="Times New Roman" w:hint="eastAsia"/>
          <w:sz w:val="32"/>
          <w:szCs w:val="32"/>
        </w:rPr>
        <w:t>《食品安全国家标准 食品添加剂使用标准》（GB 2760-2014）</w:t>
      </w:r>
      <w:r>
        <w:rPr>
          <w:rFonts w:ascii="仿宋_GB2312" w:eastAsia="仿宋_GB2312" w:hAnsi="Times New Roman" w:cs="Times New Roman" w:hint="eastAsia"/>
          <w:sz w:val="32"/>
          <w:szCs w:val="32"/>
        </w:rPr>
        <w:t>表A.1中列出</w:t>
      </w:r>
      <w:r>
        <w:rPr>
          <w:rFonts w:ascii="仿宋_GB2312" w:eastAsia="仿宋_GB2312" w:hAnsi="Times New Roman" w:cs="Times New Roman"/>
          <w:sz w:val="32"/>
          <w:szCs w:val="32"/>
        </w:rPr>
        <w:t>的具有同一功能的食品添加剂在同一食品中混合使用时，各自的实际使用量占其最大使用量的比例之和不能超过</w:t>
      </w:r>
      <w:r>
        <w:rPr>
          <w:rFonts w:ascii="仿宋_GB2312" w:eastAsia="仿宋_GB2312" w:hAnsi="Times New Roman" w:cs="Times New Roman" w:hint="eastAsia"/>
          <w:sz w:val="32"/>
          <w:szCs w:val="32"/>
        </w:rPr>
        <w:t>1。</w:t>
      </w:r>
      <w:r w:rsidRPr="002B4283">
        <w:rPr>
          <w:rFonts w:ascii="仿宋_GB2312" w:eastAsia="仿宋_GB2312" w:hAnsi="Times New Roman" w:cs="Times New Roman" w:hint="eastAsia"/>
          <w:sz w:val="32"/>
          <w:szCs w:val="32"/>
        </w:rPr>
        <w:t>防腐剂混合使用时各自用量占其最大使用量的比例之和超标的原因</w:t>
      </w:r>
      <w:r>
        <w:rPr>
          <w:rFonts w:ascii="仿宋_GB2312" w:eastAsia="仿宋_GB2312" w:hAnsi="Times New Roman" w:cs="Times New Roman" w:hint="eastAsia"/>
          <w:sz w:val="32"/>
          <w:szCs w:val="32"/>
        </w:rPr>
        <w:t>有</w:t>
      </w:r>
      <w:r w:rsidRPr="002B4283">
        <w:rPr>
          <w:rFonts w:ascii="仿宋_GB2312" w:eastAsia="仿宋_GB2312" w:hAnsi="Times New Roman" w:cs="Times New Roman" w:hint="eastAsia"/>
          <w:sz w:val="32"/>
          <w:szCs w:val="32"/>
        </w:rPr>
        <w:t>生产</w:t>
      </w:r>
      <w:r>
        <w:rPr>
          <w:rFonts w:ascii="仿宋_GB2312" w:eastAsia="仿宋_GB2312" w:hAnsi="Times New Roman" w:cs="Times New Roman" w:hint="eastAsia"/>
          <w:sz w:val="32"/>
          <w:szCs w:val="32"/>
        </w:rPr>
        <w:t>经营</w:t>
      </w:r>
      <w:r w:rsidRPr="002B4283">
        <w:rPr>
          <w:rFonts w:ascii="仿宋_GB2312" w:eastAsia="仿宋_GB2312" w:hAnsi="Times New Roman" w:cs="Times New Roman" w:hint="eastAsia"/>
          <w:sz w:val="32"/>
          <w:szCs w:val="32"/>
        </w:rPr>
        <w:t>企业</w:t>
      </w:r>
      <w:r>
        <w:rPr>
          <w:rFonts w:ascii="仿宋_GB2312" w:eastAsia="仿宋_GB2312" w:hAnsi="Times New Roman" w:cs="Times New Roman" w:hint="eastAsia"/>
          <w:sz w:val="32"/>
          <w:szCs w:val="32"/>
        </w:rPr>
        <w:t>超</w:t>
      </w:r>
      <w:r>
        <w:rPr>
          <w:rFonts w:ascii="仿宋_GB2312" w:eastAsia="仿宋_GB2312" w:hAnsi="Times New Roman" w:cs="Times New Roman"/>
          <w:sz w:val="32"/>
          <w:szCs w:val="32"/>
        </w:rPr>
        <w:t>限量、超范围使用，或者</w:t>
      </w:r>
      <w:r>
        <w:rPr>
          <w:rFonts w:ascii="仿宋_GB2312" w:eastAsia="仿宋_GB2312" w:hAnsi="Times New Roman" w:cs="Times New Roman" w:hint="eastAsia"/>
          <w:sz w:val="32"/>
          <w:szCs w:val="32"/>
        </w:rPr>
        <w:t>未</w:t>
      </w:r>
      <w:r>
        <w:rPr>
          <w:rFonts w:ascii="仿宋_GB2312" w:eastAsia="仿宋_GB2312" w:hAnsi="Times New Roman" w:cs="Times New Roman"/>
          <w:sz w:val="32"/>
          <w:szCs w:val="32"/>
        </w:rPr>
        <w:t>准确计</w:t>
      </w:r>
      <w:r w:rsidRPr="002B4283">
        <w:rPr>
          <w:rFonts w:ascii="仿宋_GB2312" w:eastAsia="仿宋_GB2312" w:hAnsi="Times New Roman" w:cs="Times New Roman" w:hint="eastAsia"/>
          <w:sz w:val="32"/>
          <w:szCs w:val="32"/>
        </w:rPr>
        <w:t>量。</w:t>
      </w:r>
    </w:p>
    <w:p w:rsidR="00CD0A57" w:rsidRDefault="003C5A95" w:rsidP="003C5A95">
      <w:pPr>
        <w:pStyle w:val="af"/>
        <w:numPr>
          <w:ilvl w:val="0"/>
          <w:numId w:val="1"/>
        </w:numPr>
        <w:adjustRightInd w:val="0"/>
        <w:snapToGrid w:val="0"/>
        <w:spacing w:line="600" w:lineRule="exact"/>
        <w:ind w:firstLineChars="0"/>
        <w:rPr>
          <w:rFonts w:ascii="黑体" w:eastAsia="黑体" w:hAnsi="黑体" w:cs="Arial"/>
          <w:kern w:val="0"/>
          <w:sz w:val="32"/>
          <w:szCs w:val="32"/>
        </w:rPr>
      </w:pPr>
      <w:r w:rsidRPr="003C5A95">
        <w:rPr>
          <w:rFonts w:ascii="黑体" w:eastAsia="黑体" w:hAnsi="黑体" w:cs="Arial" w:hint="eastAsia"/>
          <w:kern w:val="0"/>
          <w:sz w:val="32"/>
          <w:szCs w:val="32"/>
        </w:rPr>
        <w:t>噻虫嗪</w:t>
      </w:r>
    </w:p>
    <w:p w:rsidR="00CD0A57" w:rsidRPr="00CD0A57" w:rsidRDefault="002B4283" w:rsidP="00562EF1">
      <w:pPr>
        <w:adjustRightInd w:val="0"/>
        <w:snapToGrid w:val="0"/>
        <w:spacing w:line="600" w:lineRule="exact"/>
        <w:ind w:firstLineChars="200" w:firstLine="640"/>
        <w:rPr>
          <w:rFonts w:ascii="仿宋_GB2312" w:eastAsia="仿宋_GB2312" w:hAnsi="Times New Roman" w:cs="Times New Roman"/>
          <w:sz w:val="32"/>
          <w:szCs w:val="32"/>
        </w:rPr>
      </w:pPr>
      <w:r w:rsidRPr="002B4283">
        <w:rPr>
          <w:rFonts w:ascii="仿宋_GB2312" w:eastAsia="仿宋_GB2312" w:hAnsi="Times New Roman" w:cs="Times New Roman" w:hint="eastAsia"/>
          <w:sz w:val="32"/>
          <w:szCs w:val="32"/>
        </w:rPr>
        <w:t>噻虫嗪</w:t>
      </w:r>
      <w:r w:rsidR="006E05D3">
        <w:rPr>
          <w:rFonts w:ascii="仿宋_GB2312" w:eastAsia="仿宋_GB2312" w:hAnsi="Times New Roman" w:cs="Times New Roman" w:hint="eastAsia"/>
          <w:sz w:val="32"/>
          <w:szCs w:val="32"/>
        </w:rPr>
        <w:t>，具</w:t>
      </w:r>
      <w:r w:rsidR="006E05D3">
        <w:rPr>
          <w:rFonts w:ascii="仿宋_GB2312" w:eastAsia="仿宋_GB2312" w:hAnsi="Times New Roman" w:cs="Times New Roman"/>
          <w:sz w:val="32"/>
          <w:szCs w:val="32"/>
        </w:rPr>
        <w:t>有</w:t>
      </w:r>
      <w:r w:rsidR="006E05D3">
        <w:rPr>
          <w:rFonts w:ascii="仿宋_GB2312" w:eastAsia="仿宋_GB2312" w:hAnsi="Times New Roman" w:cs="Times New Roman" w:hint="eastAsia"/>
          <w:sz w:val="32"/>
          <w:szCs w:val="32"/>
        </w:rPr>
        <w:t>触</w:t>
      </w:r>
      <w:r w:rsidR="006E05D3">
        <w:rPr>
          <w:rFonts w:ascii="仿宋_GB2312" w:eastAsia="仿宋_GB2312" w:hAnsi="Times New Roman" w:cs="Times New Roman"/>
          <w:sz w:val="32"/>
          <w:szCs w:val="32"/>
        </w:rPr>
        <w:t>杀、胃毒</w:t>
      </w:r>
      <w:r w:rsidR="006E05D3">
        <w:rPr>
          <w:rFonts w:ascii="仿宋_GB2312" w:eastAsia="仿宋_GB2312" w:hAnsi="Times New Roman" w:cs="Times New Roman" w:hint="eastAsia"/>
          <w:sz w:val="32"/>
          <w:szCs w:val="32"/>
        </w:rPr>
        <w:t>和</w:t>
      </w:r>
      <w:r w:rsidR="006E05D3">
        <w:rPr>
          <w:rFonts w:ascii="仿宋_GB2312" w:eastAsia="仿宋_GB2312" w:hAnsi="Times New Roman" w:cs="Times New Roman"/>
          <w:sz w:val="32"/>
          <w:szCs w:val="32"/>
        </w:rPr>
        <w:t>内吸作用的</w:t>
      </w:r>
      <w:r w:rsidR="006E05D3">
        <w:rPr>
          <w:rFonts w:ascii="仿宋_GB2312" w:eastAsia="仿宋_GB2312" w:hAnsi="Times New Roman" w:cs="Times New Roman" w:hint="eastAsia"/>
          <w:sz w:val="32"/>
          <w:szCs w:val="32"/>
        </w:rPr>
        <w:t>烟</w:t>
      </w:r>
      <w:r w:rsidR="006E05D3">
        <w:rPr>
          <w:rFonts w:ascii="仿宋_GB2312" w:eastAsia="仿宋_GB2312" w:hAnsi="Times New Roman" w:cs="Times New Roman"/>
          <w:sz w:val="32"/>
          <w:szCs w:val="32"/>
        </w:rPr>
        <w:t>碱类</w:t>
      </w:r>
      <w:r w:rsidR="006E05D3">
        <w:rPr>
          <w:rFonts w:ascii="仿宋_GB2312" w:eastAsia="仿宋_GB2312" w:hAnsi="Times New Roman" w:cs="Times New Roman" w:hint="eastAsia"/>
          <w:sz w:val="32"/>
          <w:szCs w:val="32"/>
        </w:rPr>
        <w:t>杀虫剂。中毒</w:t>
      </w:r>
      <w:r w:rsidR="006E05D3">
        <w:rPr>
          <w:rFonts w:ascii="仿宋_GB2312" w:eastAsia="仿宋_GB2312" w:hAnsi="Times New Roman" w:cs="Times New Roman"/>
          <w:sz w:val="32"/>
          <w:szCs w:val="32"/>
        </w:rPr>
        <w:t>可出现恶心、呕吐、头痛、</w:t>
      </w:r>
      <w:r w:rsidR="006E05D3">
        <w:rPr>
          <w:rFonts w:ascii="仿宋_GB2312" w:eastAsia="仿宋_GB2312" w:hAnsi="Times New Roman" w:cs="Times New Roman" w:hint="eastAsia"/>
          <w:sz w:val="32"/>
          <w:szCs w:val="32"/>
        </w:rPr>
        <w:t>乏力</w:t>
      </w:r>
      <w:r w:rsidR="006E05D3">
        <w:rPr>
          <w:rFonts w:ascii="仿宋_GB2312" w:eastAsia="仿宋_GB2312" w:hAnsi="Times New Roman" w:cs="Times New Roman"/>
          <w:sz w:val="32"/>
          <w:szCs w:val="32"/>
        </w:rPr>
        <w:t>、心跳过速等。</w:t>
      </w:r>
      <w:r w:rsidR="006E05D3">
        <w:rPr>
          <w:rFonts w:ascii="仿宋_GB2312" w:eastAsia="仿宋_GB2312" w:hAnsi="Times New Roman" w:cs="Times New Roman" w:hint="eastAsia"/>
          <w:sz w:val="32"/>
          <w:szCs w:val="32"/>
        </w:rPr>
        <w:t>食用食品</w:t>
      </w:r>
      <w:r w:rsidR="006E05D3">
        <w:rPr>
          <w:rFonts w:ascii="仿宋_GB2312" w:eastAsia="仿宋_GB2312" w:hAnsi="Times New Roman" w:cs="Times New Roman"/>
          <w:sz w:val="32"/>
          <w:szCs w:val="32"/>
        </w:rPr>
        <w:t>一般不会导致</w:t>
      </w:r>
      <w:r w:rsidR="006E05D3" w:rsidRPr="002B4283">
        <w:rPr>
          <w:rFonts w:ascii="仿宋_GB2312" w:eastAsia="仿宋_GB2312" w:hAnsi="Times New Roman" w:cs="Times New Roman" w:hint="eastAsia"/>
          <w:sz w:val="32"/>
          <w:szCs w:val="32"/>
        </w:rPr>
        <w:t>噻虫嗪</w:t>
      </w:r>
      <w:r w:rsidR="006E05D3">
        <w:rPr>
          <w:rFonts w:ascii="仿宋_GB2312" w:eastAsia="仿宋_GB2312" w:hAnsi="Times New Roman" w:cs="Times New Roman" w:hint="eastAsia"/>
          <w:sz w:val="32"/>
          <w:szCs w:val="32"/>
        </w:rPr>
        <w:t>的</w:t>
      </w:r>
      <w:r w:rsidR="006E05D3">
        <w:rPr>
          <w:rFonts w:ascii="仿宋_GB2312" w:eastAsia="仿宋_GB2312" w:hAnsi="Times New Roman" w:cs="Times New Roman"/>
          <w:sz w:val="32"/>
          <w:szCs w:val="32"/>
        </w:rPr>
        <w:t>急性中毒，</w:t>
      </w:r>
      <w:r w:rsidR="006E05D3">
        <w:rPr>
          <w:rFonts w:ascii="仿宋_GB2312" w:eastAsia="仿宋_GB2312" w:hAnsi="Times New Roman" w:cs="Times New Roman" w:hint="eastAsia"/>
          <w:sz w:val="32"/>
          <w:szCs w:val="32"/>
        </w:rPr>
        <w:t>但</w:t>
      </w:r>
      <w:r w:rsidRPr="002B4283">
        <w:rPr>
          <w:rFonts w:ascii="仿宋_GB2312" w:eastAsia="仿宋_GB2312" w:hAnsi="Times New Roman" w:cs="Times New Roman" w:hint="eastAsia"/>
          <w:sz w:val="32"/>
          <w:szCs w:val="32"/>
        </w:rPr>
        <w:t>长期</w:t>
      </w:r>
      <w:r w:rsidR="006E05D3">
        <w:rPr>
          <w:rFonts w:ascii="仿宋_GB2312" w:eastAsia="仿宋_GB2312" w:hAnsi="Times New Roman" w:cs="Times New Roman" w:hint="eastAsia"/>
          <w:sz w:val="32"/>
          <w:szCs w:val="32"/>
        </w:rPr>
        <w:t>食用</w:t>
      </w:r>
      <w:r w:rsidR="006E05D3" w:rsidRPr="002B4283">
        <w:rPr>
          <w:rFonts w:ascii="仿宋_GB2312" w:eastAsia="仿宋_GB2312" w:hAnsi="Times New Roman" w:cs="Times New Roman" w:hint="eastAsia"/>
          <w:sz w:val="32"/>
          <w:szCs w:val="32"/>
        </w:rPr>
        <w:t>噻虫嗪</w:t>
      </w:r>
      <w:r w:rsidR="006E05D3">
        <w:rPr>
          <w:rFonts w:ascii="仿宋_GB2312" w:eastAsia="仿宋_GB2312" w:hAnsi="Times New Roman" w:cs="Times New Roman" w:hint="eastAsia"/>
          <w:sz w:val="32"/>
          <w:szCs w:val="32"/>
        </w:rPr>
        <w:t>超</w:t>
      </w:r>
      <w:r w:rsidR="006E05D3">
        <w:rPr>
          <w:rFonts w:ascii="仿宋_GB2312" w:eastAsia="仿宋_GB2312" w:hAnsi="Times New Roman" w:cs="Times New Roman"/>
          <w:sz w:val="32"/>
          <w:szCs w:val="32"/>
        </w:rPr>
        <w:t>标的食品</w:t>
      </w:r>
      <w:r w:rsidR="006E05D3">
        <w:rPr>
          <w:rFonts w:ascii="仿宋_GB2312" w:eastAsia="仿宋_GB2312" w:hAnsi="Times New Roman" w:cs="Times New Roman" w:hint="eastAsia"/>
          <w:sz w:val="32"/>
          <w:szCs w:val="32"/>
        </w:rPr>
        <w:t>，</w:t>
      </w:r>
      <w:r w:rsidRPr="002B4283">
        <w:rPr>
          <w:rFonts w:ascii="仿宋_GB2312" w:eastAsia="仿宋_GB2312" w:hAnsi="Times New Roman" w:cs="Times New Roman" w:hint="eastAsia"/>
          <w:sz w:val="32"/>
          <w:szCs w:val="32"/>
        </w:rPr>
        <w:t>对人体</w:t>
      </w:r>
      <w:r w:rsidR="006E05D3">
        <w:rPr>
          <w:rFonts w:ascii="仿宋_GB2312" w:eastAsia="仿宋_GB2312" w:hAnsi="Times New Roman" w:cs="Times New Roman" w:hint="eastAsia"/>
          <w:sz w:val="32"/>
          <w:szCs w:val="32"/>
        </w:rPr>
        <w:t>也</w:t>
      </w:r>
      <w:r w:rsidRPr="002B4283">
        <w:rPr>
          <w:rFonts w:ascii="仿宋_GB2312" w:eastAsia="仿宋_GB2312" w:hAnsi="Times New Roman" w:cs="Times New Roman" w:hint="eastAsia"/>
          <w:sz w:val="32"/>
          <w:szCs w:val="32"/>
        </w:rPr>
        <w:t>有一定</w:t>
      </w:r>
      <w:r w:rsidR="006E05D3">
        <w:rPr>
          <w:rFonts w:ascii="仿宋_GB2312" w:eastAsia="仿宋_GB2312" w:hAnsi="Times New Roman" w:cs="Times New Roman" w:hint="eastAsia"/>
          <w:sz w:val="32"/>
          <w:szCs w:val="32"/>
        </w:rPr>
        <w:t>影响</w:t>
      </w:r>
      <w:r w:rsidR="00347900" w:rsidRPr="00347900">
        <w:rPr>
          <w:rFonts w:ascii="仿宋_GB2312" w:eastAsia="仿宋_GB2312" w:hAnsi="Times New Roman" w:cs="Times New Roman" w:hint="eastAsia"/>
          <w:sz w:val="32"/>
          <w:szCs w:val="32"/>
        </w:rPr>
        <w:t>。</w:t>
      </w:r>
    </w:p>
    <w:p w:rsidR="003C5A95" w:rsidRDefault="003C5A95" w:rsidP="003C5A95">
      <w:pPr>
        <w:pStyle w:val="af"/>
        <w:numPr>
          <w:ilvl w:val="0"/>
          <w:numId w:val="1"/>
        </w:numPr>
        <w:adjustRightInd w:val="0"/>
        <w:snapToGrid w:val="0"/>
        <w:spacing w:line="600" w:lineRule="exact"/>
        <w:ind w:firstLineChars="0"/>
        <w:rPr>
          <w:rFonts w:ascii="黑体" w:eastAsia="黑体" w:hAnsi="黑体" w:cs="Arial"/>
          <w:kern w:val="0"/>
          <w:sz w:val="32"/>
          <w:szCs w:val="32"/>
        </w:rPr>
      </w:pPr>
      <w:r w:rsidRPr="003C5A95">
        <w:rPr>
          <w:rFonts w:ascii="黑体" w:eastAsia="黑体" w:hAnsi="黑体" w:cs="Arial" w:hint="eastAsia"/>
          <w:kern w:val="0"/>
          <w:sz w:val="32"/>
          <w:szCs w:val="32"/>
        </w:rPr>
        <w:t>甲硝唑</w:t>
      </w:r>
    </w:p>
    <w:p w:rsidR="003C5A95" w:rsidRPr="00B745A4" w:rsidRDefault="00B745A4" w:rsidP="00B745A4">
      <w:pPr>
        <w:adjustRightInd w:val="0"/>
        <w:snapToGrid w:val="0"/>
        <w:spacing w:line="600" w:lineRule="exact"/>
        <w:ind w:firstLineChars="200" w:firstLine="640"/>
        <w:rPr>
          <w:rFonts w:ascii="仿宋_GB2312" w:eastAsia="仿宋_GB2312" w:hAnsi="Times New Roman" w:cs="Times New Roman" w:hint="eastAsia"/>
          <w:sz w:val="32"/>
          <w:szCs w:val="32"/>
        </w:rPr>
      </w:pPr>
      <w:r w:rsidRPr="00B745A4">
        <w:rPr>
          <w:rFonts w:ascii="仿宋_GB2312" w:eastAsia="仿宋_GB2312" w:hAnsi="Times New Roman" w:cs="Times New Roman" w:hint="eastAsia"/>
          <w:sz w:val="32"/>
          <w:szCs w:val="32"/>
        </w:rPr>
        <w:t>甲硝唑是硝基咪唑类抗菌药。动物产品的甲硝唑残留，一般不会导致对人体的急性毒性作用。《食品安全国家标准 食品中兽药最大残留限量》（GB 31650-2019）规定，甲硝唑被列入允许作治疗用，但不得在动物性食品中检出的兽药。鸡蛋中检出甲硝唑的原因，可能是养殖户在养殖过程中违规使用相关兽药。</w:t>
      </w:r>
    </w:p>
    <w:p w:rsidR="003C5A95" w:rsidRDefault="003C5A95" w:rsidP="003C5A95">
      <w:pPr>
        <w:pStyle w:val="af"/>
        <w:numPr>
          <w:ilvl w:val="0"/>
          <w:numId w:val="1"/>
        </w:numPr>
        <w:adjustRightInd w:val="0"/>
        <w:snapToGrid w:val="0"/>
        <w:spacing w:line="600" w:lineRule="exact"/>
        <w:ind w:firstLineChars="0"/>
        <w:rPr>
          <w:rFonts w:ascii="黑体" w:eastAsia="黑体" w:hAnsi="黑体" w:cs="Arial"/>
          <w:kern w:val="0"/>
          <w:sz w:val="32"/>
          <w:szCs w:val="32"/>
        </w:rPr>
      </w:pPr>
      <w:r w:rsidRPr="003C5A95">
        <w:rPr>
          <w:rFonts w:ascii="黑体" w:eastAsia="黑体" w:hAnsi="黑体" w:cs="Arial" w:hint="eastAsia"/>
          <w:kern w:val="0"/>
          <w:sz w:val="32"/>
          <w:szCs w:val="32"/>
        </w:rPr>
        <w:t>恩诺沙星</w:t>
      </w:r>
    </w:p>
    <w:p w:rsidR="003C5A95" w:rsidRPr="005E1678" w:rsidRDefault="005E1678" w:rsidP="005E1678">
      <w:pPr>
        <w:adjustRightInd w:val="0"/>
        <w:snapToGrid w:val="0"/>
        <w:spacing w:line="600" w:lineRule="exact"/>
        <w:ind w:firstLineChars="200" w:firstLine="640"/>
        <w:rPr>
          <w:rFonts w:ascii="仿宋_GB2312" w:eastAsia="仿宋_GB2312" w:hAnsi="Times New Roman" w:cs="Times New Roman" w:hint="eastAsia"/>
          <w:sz w:val="32"/>
          <w:szCs w:val="32"/>
        </w:rPr>
      </w:pPr>
      <w:r w:rsidRPr="005E1678">
        <w:rPr>
          <w:rFonts w:ascii="仿宋_GB2312" w:eastAsia="仿宋_GB2312" w:hAnsi="Times New Roman" w:cs="Times New Roman" w:hint="eastAsia"/>
          <w:sz w:val="32"/>
          <w:szCs w:val="32"/>
        </w:rPr>
        <w:t>恩诺沙星属第三代喹诺酮类药物，是一类人工合成的广谱抗菌药，用于</w:t>
      </w:r>
      <w:r>
        <w:rPr>
          <w:rFonts w:ascii="仿宋_GB2312" w:eastAsia="仿宋_GB2312" w:hAnsi="Times New Roman" w:cs="Times New Roman" w:hint="eastAsia"/>
          <w:sz w:val="32"/>
          <w:szCs w:val="32"/>
        </w:rPr>
        <w:t>治疗动物的皮肤感染、呼吸道感染等，是动物专属用药。长期使</w:t>
      </w:r>
      <w:r w:rsidRPr="005E1678">
        <w:rPr>
          <w:rFonts w:ascii="仿宋_GB2312" w:eastAsia="仿宋_GB2312" w:hAnsi="Times New Roman" w:cs="Times New Roman" w:hint="eastAsia"/>
          <w:sz w:val="32"/>
          <w:szCs w:val="32"/>
        </w:rPr>
        <w:t>用</w:t>
      </w:r>
      <w:r>
        <w:rPr>
          <w:rFonts w:ascii="仿宋_GB2312" w:eastAsia="仿宋_GB2312" w:hAnsi="Times New Roman" w:cs="Times New Roman" w:hint="eastAsia"/>
          <w:sz w:val="32"/>
          <w:szCs w:val="32"/>
        </w:rPr>
        <w:t>或者</w:t>
      </w:r>
      <w:r>
        <w:rPr>
          <w:rFonts w:ascii="仿宋_GB2312" w:eastAsia="仿宋_GB2312" w:hAnsi="Times New Roman" w:cs="Times New Roman"/>
          <w:sz w:val="32"/>
          <w:szCs w:val="32"/>
        </w:rPr>
        <w:t>过度使用</w:t>
      </w:r>
      <w:r w:rsidRPr="005E1678">
        <w:rPr>
          <w:rFonts w:ascii="仿宋_GB2312" w:eastAsia="仿宋_GB2312" w:hAnsi="Times New Roman" w:cs="Times New Roman" w:hint="eastAsia"/>
          <w:sz w:val="32"/>
          <w:szCs w:val="32"/>
        </w:rPr>
        <w:t>可能导致在人体中蓄积，进而对人体机能产生危害，还可能使人体产生耐药性菌株。恩诺沙星超标的原因，可能是养殖户在养殖过程中为快速控制疫病，违规加大用药量；也可能是养殖户不遵守休药期规定，致使产品上市销售时残留超标。</w:t>
      </w:r>
    </w:p>
    <w:p w:rsidR="003C5A95" w:rsidRDefault="003C5A95" w:rsidP="003C5A95">
      <w:pPr>
        <w:pStyle w:val="af"/>
        <w:numPr>
          <w:ilvl w:val="0"/>
          <w:numId w:val="1"/>
        </w:numPr>
        <w:adjustRightInd w:val="0"/>
        <w:snapToGrid w:val="0"/>
        <w:spacing w:line="600" w:lineRule="exact"/>
        <w:ind w:firstLineChars="0"/>
        <w:rPr>
          <w:rFonts w:ascii="黑体" w:eastAsia="黑体" w:hAnsi="黑体" w:cs="Arial"/>
          <w:kern w:val="0"/>
          <w:sz w:val="32"/>
          <w:szCs w:val="32"/>
        </w:rPr>
      </w:pPr>
      <w:r w:rsidRPr="003C5A95">
        <w:rPr>
          <w:rFonts w:ascii="黑体" w:eastAsia="黑体" w:hAnsi="黑体" w:cs="Arial" w:hint="eastAsia"/>
          <w:kern w:val="0"/>
          <w:sz w:val="32"/>
          <w:szCs w:val="32"/>
        </w:rPr>
        <w:t>甲氧苄啶</w:t>
      </w:r>
    </w:p>
    <w:p w:rsidR="003C5A95" w:rsidRPr="00093F91" w:rsidRDefault="00093F91" w:rsidP="00093F91">
      <w:pPr>
        <w:adjustRightInd w:val="0"/>
        <w:snapToGrid w:val="0"/>
        <w:spacing w:line="600" w:lineRule="exact"/>
        <w:ind w:firstLineChars="200" w:firstLine="640"/>
        <w:rPr>
          <w:rFonts w:ascii="仿宋_GB2312" w:eastAsia="仿宋_GB2312" w:hAnsi="Times New Roman" w:cs="Times New Roman" w:hint="eastAsia"/>
          <w:sz w:val="32"/>
          <w:szCs w:val="32"/>
        </w:rPr>
      </w:pPr>
      <w:r w:rsidRPr="00093F91">
        <w:rPr>
          <w:rFonts w:ascii="仿宋_GB2312" w:eastAsia="仿宋_GB2312" w:hAnsi="Times New Roman" w:cs="Times New Roman" w:hint="eastAsia"/>
          <w:sz w:val="32"/>
          <w:szCs w:val="32"/>
        </w:rPr>
        <w:t>甲氧苄啶</w:t>
      </w:r>
      <w:r w:rsidR="00E63D4C">
        <w:rPr>
          <w:rFonts w:ascii="仿宋_GB2312" w:eastAsia="仿宋_GB2312" w:hAnsi="Times New Roman" w:cs="Times New Roman" w:hint="eastAsia"/>
          <w:sz w:val="32"/>
          <w:szCs w:val="32"/>
        </w:rPr>
        <w:t>是合成</w:t>
      </w:r>
      <w:r w:rsidR="00E63D4C">
        <w:rPr>
          <w:rFonts w:ascii="仿宋_GB2312" w:eastAsia="仿宋_GB2312" w:hAnsi="Times New Roman" w:cs="Times New Roman"/>
          <w:sz w:val="32"/>
          <w:szCs w:val="32"/>
        </w:rPr>
        <w:t>的</w:t>
      </w:r>
      <w:r w:rsidRPr="00093F91">
        <w:rPr>
          <w:rFonts w:ascii="仿宋_GB2312" w:eastAsia="仿宋_GB2312" w:hAnsi="Times New Roman" w:cs="Times New Roman" w:hint="eastAsia"/>
          <w:sz w:val="32"/>
          <w:szCs w:val="32"/>
        </w:rPr>
        <w:t>抗菌</w:t>
      </w:r>
      <w:r w:rsidR="00E63D4C">
        <w:rPr>
          <w:rFonts w:ascii="仿宋_GB2312" w:eastAsia="仿宋_GB2312" w:hAnsi="Times New Roman" w:cs="Times New Roman" w:hint="eastAsia"/>
          <w:sz w:val="32"/>
          <w:szCs w:val="32"/>
        </w:rPr>
        <w:t>药</w:t>
      </w:r>
      <w:r w:rsidR="00E63D4C">
        <w:rPr>
          <w:rFonts w:ascii="仿宋_GB2312" w:eastAsia="仿宋_GB2312" w:hAnsi="Times New Roman" w:cs="Times New Roman"/>
          <w:sz w:val="32"/>
          <w:szCs w:val="32"/>
        </w:rPr>
        <w:t>和</w:t>
      </w:r>
      <w:r w:rsidR="00E63D4C">
        <w:rPr>
          <w:rFonts w:ascii="仿宋_GB2312" w:eastAsia="仿宋_GB2312" w:hAnsi="Times New Roman" w:cs="Times New Roman" w:hint="eastAsia"/>
          <w:sz w:val="32"/>
          <w:szCs w:val="32"/>
        </w:rPr>
        <w:t>磺</w:t>
      </w:r>
      <w:r w:rsidR="00E63D4C">
        <w:rPr>
          <w:rFonts w:ascii="仿宋_GB2312" w:eastAsia="仿宋_GB2312" w:hAnsi="Times New Roman" w:cs="Times New Roman"/>
          <w:sz w:val="32"/>
          <w:szCs w:val="32"/>
        </w:rPr>
        <w:t>胺</w:t>
      </w:r>
      <w:r w:rsidRPr="00093F91">
        <w:rPr>
          <w:rFonts w:ascii="仿宋_GB2312" w:eastAsia="仿宋_GB2312" w:hAnsi="Times New Roman" w:cs="Times New Roman" w:hint="eastAsia"/>
          <w:sz w:val="32"/>
          <w:szCs w:val="32"/>
        </w:rPr>
        <w:t>增效</w:t>
      </w:r>
      <w:r w:rsidR="00E63D4C">
        <w:rPr>
          <w:rFonts w:ascii="仿宋_GB2312" w:eastAsia="仿宋_GB2312" w:hAnsi="Times New Roman" w:cs="Times New Roman" w:hint="eastAsia"/>
          <w:sz w:val="32"/>
          <w:szCs w:val="32"/>
        </w:rPr>
        <w:t>药</w:t>
      </w:r>
      <w:r w:rsidRPr="00093F91">
        <w:rPr>
          <w:rFonts w:ascii="仿宋_GB2312" w:eastAsia="仿宋_GB2312" w:hAnsi="Times New Roman" w:cs="Times New Roman" w:hint="eastAsia"/>
          <w:sz w:val="32"/>
          <w:szCs w:val="32"/>
        </w:rPr>
        <w:t>，</w:t>
      </w:r>
      <w:r w:rsidR="00E63D4C">
        <w:rPr>
          <w:rFonts w:ascii="仿宋_GB2312" w:eastAsia="仿宋_GB2312" w:hAnsi="Times New Roman" w:cs="Times New Roman" w:hint="eastAsia"/>
          <w:sz w:val="32"/>
          <w:szCs w:val="32"/>
        </w:rPr>
        <w:t>具有</w:t>
      </w:r>
      <w:r w:rsidR="00E63D4C">
        <w:rPr>
          <w:rFonts w:ascii="仿宋_GB2312" w:eastAsia="仿宋_GB2312" w:hAnsi="Times New Roman" w:cs="Times New Roman"/>
          <w:sz w:val="32"/>
          <w:szCs w:val="32"/>
        </w:rPr>
        <w:t>抗菌谱广、性质稳定、体内分</w:t>
      </w:r>
      <w:r w:rsidR="00B41677">
        <w:rPr>
          <w:rFonts w:ascii="仿宋_GB2312" w:eastAsia="仿宋_GB2312" w:hAnsi="Times New Roman" w:cs="Times New Roman" w:hint="eastAsia"/>
          <w:sz w:val="32"/>
          <w:szCs w:val="32"/>
        </w:rPr>
        <w:t>布</w:t>
      </w:r>
      <w:r w:rsidR="00E63D4C">
        <w:rPr>
          <w:rFonts w:ascii="仿宋_GB2312" w:eastAsia="仿宋_GB2312" w:hAnsi="Times New Roman" w:cs="Times New Roman"/>
          <w:sz w:val="32"/>
          <w:szCs w:val="32"/>
        </w:rPr>
        <w:t>广泛等优点</w:t>
      </w:r>
      <w:r w:rsidRPr="00093F91">
        <w:rPr>
          <w:rFonts w:ascii="仿宋_GB2312" w:eastAsia="仿宋_GB2312" w:hAnsi="Times New Roman" w:cs="Times New Roman" w:hint="eastAsia"/>
          <w:sz w:val="32"/>
          <w:szCs w:val="32"/>
        </w:rPr>
        <w:t>。</w:t>
      </w:r>
      <w:r w:rsidR="00E63D4C">
        <w:rPr>
          <w:rFonts w:ascii="仿宋_GB2312" w:eastAsia="仿宋_GB2312" w:hAnsi="Times New Roman" w:cs="Times New Roman" w:hint="eastAsia"/>
          <w:sz w:val="32"/>
          <w:szCs w:val="32"/>
        </w:rPr>
        <w:t>动物</w:t>
      </w:r>
      <w:r w:rsidR="00E63D4C">
        <w:rPr>
          <w:rFonts w:ascii="仿宋_GB2312" w:eastAsia="仿宋_GB2312" w:hAnsi="Times New Roman" w:cs="Times New Roman"/>
          <w:sz w:val="32"/>
          <w:szCs w:val="32"/>
        </w:rPr>
        <w:t>产品的甲</w:t>
      </w:r>
      <w:r w:rsidRPr="00093F91">
        <w:rPr>
          <w:rFonts w:ascii="仿宋_GB2312" w:eastAsia="仿宋_GB2312" w:hAnsi="Times New Roman" w:cs="Times New Roman" w:hint="eastAsia"/>
          <w:sz w:val="32"/>
          <w:szCs w:val="32"/>
        </w:rPr>
        <w:t>氧苄啶</w:t>
      </w:r>
      <w:r w:rsidR="00E63D4C">
        <w:rPr>
          <w:rFonts w:ascii="仿宋_GB2312" w:eastAsia="仿宋_GB2312" w:hAnsi="Times New Roman" w:cs="Times New Roman" w:hint="eastAsia"/>
          <w:sz w:val="32"/>
          <w:szCs w:val="32"/>
        </w:rPr>
        <w:t>残留</w:t>
      </w:r>
      <w:r w:rsidR="00E63D4C">
        <w:rPr>
          <w:rFonts w:ascii="仿宋_GB2312" w:eastAsia="仿宋_GB2312" w:hAnsi="Times New Roman" w:cs="Times New Roman"/>
          <w:sz w:val="32"/>
          <w:szCs w:val="32"/>
        </w:rPr>
        <w:t>，一般不会导致对人体的急性毒</w:t>
      </w:r>
      <w:r w:rsidR="00E63D4C">
        <w:rPr>
          <w:rFonts w:ascii="仿宋_GB2312" w:eastAsia="仿宋_GB2312" w:hAnsi="Times New Roman" w:cs="Times New Roman" w:hint="eastAsia"/>
          <w:sz w:val="32"/>
          <w:szCs w:val="32"/>
        </w:rPr>
        <w:t>性</w:t>
      </w:r>
      <w:r w:rsidR="00E63D4C">
        <w:rPr>
          <w:rFonts w:ascii="仿宋_GB2312" w:eastAsia="仿宋_GB2312" w:hAnsi="Times New Roman" w:cs="Times New Roman"/>
          <w:sz w:val="32"/>
          <w:szCs w:val="32"/>
        </w:rPr>
        <w:t>作用；长期大量摄入</w:t>
      </w:r>
      <w:r w:rsidR="00E63D4C">
        <w:rPr>
          <w:rFonts w:ascii="仿宋_GB2312" w:eastAsia="仿宋_GB2312" w:hAnsi="Times New Roman" w:cs="Times New Roman" w:hint="eastAsia"/>
          <w:sz w:val="32"/>
          <w:szCs w:val="32"/>
        </w:rPr>
        <w:t>甲</w:t>
      </w:r>
      <w:r w:rsidR="00E63D4C">
        <w:rPr>
          <w:rFonts w:ascii="仿宋_GB2312" w:eastAsia="仿宋_GB2312" w:hAnsi="Times New Roman" w:cs="Times New Roman"/>
          <w:sz w:val="32"/>
          <w:szCs w:val="32"/>
        </w:rPr>
        <w:t>氧苄啶残留</w:t>
      </w:r>
      <w:r w:rsidRPr="00093F91">
        <w:rPr>
          <w:rFonts w:ascii="仿宋_GB2312" w:eastAsia="仿宋_GB2312" w:hAnsi="Times New Roman" w:cs="Times New Roman" w:hint="eastAsia"/>
          <w:sz w:val="32"/>
          <w:szCs w:val="32"/>
        </w:rPr>
        <w:t>超标的食品，可能</w:t>
      </w:r>
      <w:r w:rsidR="00E63D4C">
        <w:rPr>
          <w:rFonts w:ascii="仿宋_GB2312" w:eastAsia="仿宋_GB2312" w:hAnsi="Times New Roman" w:cs="Times New Roman" w:hint="eastAsia"/>
          <w:sz w:val="32"/>
          <w:szCs w:val="32"/>
        </w:rPr>
        <w:t>在</w:t>
      </w:r>
      <w:r w:rsidR="00E63D4C">
        <w:rPr>
          <w:rFonts w:ascii="仿宋_GB2312" w:eastAsia="仿宋_GB2312" w:hAnsi="Times New Roman" w:cs="Times New Roman"/>
          <w:sz w:val="32"/>
          <w:szCs w:val="32"/>
        </w:rPr>
        <w:t>人体内蓄积，导致胃肠道反应、皮肤过敏症状等。</w:t>
      </w:r>
    </w:p>
    <w:p w:rsidR="003C5A95" w:rsidRDefault="003C5A95" w:rsidP="003C5A95">
      <w:pPr>
        <w:pStyle w:val="af"/>
        <w:numPr>
          <w:ilvl w:val="0"/>
          <w:numId w:val="1"/>
        </w:numPr>
        <w:adjustRightInd w:val="0"/>
        <w:snapToGrid w:val="0"/>
        <w:spacing w:line="600" w:lineRule="exact"/>
        <w:ind w:firstLineChars="0"/>
        <w:rPr>
          <w:rFonts w:ascii="黑体" w:eastAsia="黑体" w:hAnsi="黑体" w:cs="Arial"/>
          <w:kern w:val="0"/>
          <w:sz w:val="32"/>
          <w:szCs w:val="32"/>
        </w:rPr>
      </w:pPr>
      <w:r w:rsidRPr="003C5A95">
        <w:rPr>
          <w:rFonts w:ascii="黑体" w:eastAsia="黑体" w:hAnsi="黑体" w:cs="Arial" w:hint="eastAsia"/>
          <w:kern w:val="0"/>
          <w:sz w:val="32"/>
          <w:szCs w:val="32"/>
        </w:rPr>
        <w:t>铅(以Pb计)</w:t>
      </w:r>
    </w:p>
    <w:p w:rsidR="003C5A95" w:rsidRPr="00B745A4" w:rsidRDefault="00B745A4" w:rsidP="00B745A4">
      <w:pPr>
        <w:adjustRightInd w:val="0"/>
        <w:snapToGrid w:val="0"/>
        <w:spacing w:line="600" w:lineRule="exact"/>
        <w:ind w:firstLineChars="200" w:firstLine="640"/>
        <w:rPr>
          <w:rFonts w:ascii="仿宋_GB2312" w:eastAsia="仿宋_GB2312" w:hAnsi="Times New Roman" w:cs="Times New Roman"/>
          <w:sz w:val="32"/>
          <w:szCs w:val="32"/>
        </w:rPr>
      </w:pPr>
      <w:r w:rsidRPr="00B745A4">
        <w:rPr>
          <w:rFonts w:ascii="仿宋_GB2312" w:eastAsia="仿宋_GB2312" w:hAnsi="Times New Roman" w:cs="Times New Roman" w:hint="eastAsia"/>
          <w:sz w:val="32"/>
          <w:szCs w:val="32"/>
        </w:rPr>
        <w:t>铅是常见重金属污染物，是一种严重危害人体健康的重金属元素。人体多通过摄取食品、饮用自来水等方式把铅带入人体。铅是蓄积性的重金属，只有当人体中铅含量达到一定程度时，才会引发身体的不适。铅的污染来源分为直接污染和间接污染。直接污染是指食品在生产过程中直接接触铅或者由于生产工艺的原因直接加入含铅的原料，涉及到食品制作工艺及盛装食品的器皿。间接污染是指食品原材料在生长、生产过程中通过土壤、空气、水等途径导致铅污染，例如含铅的废水废渣排放污染水体和土壤后，进而污染食物；含铅农药的使用也可造成农作物的铅污染。</w:t>
      </w:r>
    </w:p>
    <w:p w:rsidR="003C5A95" w:rsidRPr="003C5A95" w:rsidRDefault="003C5A95" w:rsidP="003C5A95">
      <w:pPr>
        <w:pStyle w:val="af"/>
        <w:numPr>
          <w:ilvl w:val="0"/>
          <w:numId w:val="1"/>
        </w:numPr>
        <w:adjustRightInd w:val="0"/>
        <w:snapToGrid w:val="0"/>
        <w:spacing w:line="600" w:lineRule="exact"/>
        <w:ind w:firstLineChars="0"/>
        <w:rPr>
          <w:rFonts w:ascii="黑体" w:eastAsia="黑体" w:hAnsi="黑体" w:cs="Arial"/>
          <w:kern w:val="0"/>
          <w:sz w:val="32"/>
          <w:szCs w:val="32"/>
        </w:rPr>
      </w:pPr>
      <w:r w:rsidRPr="003C5A95">
        <w:rPr>
          <w:rFonts w:ascii="黑体" w:eastAsia="黑体" w:hAnsi="黑体" w:cs="Arial" w:hint="eastAsia"/>
          <w:kern w:val="0"/>
          <w:sz w:val="32"/>
          <w:szCs w:val="32"/>
        </w:rPr>
        <w:t>黄曲霉毒素B</w:t>
      </w:r>
      <w:r w:rsidRPr="003C5A95">
        <w:rPr>
          <w:rFonts w:ascii="黑体" w:eastAsia="黑体" w:hAnsi="黑体" w:cs="Arial" w:hint="eastAsia"/>
          <w:kern w:val="0"/>
          <w:szCs w:val="32"/>
        </w:rPr>
        <w:t>1</w:t>
      </w:r>
    </w:p>
    <w:p w:rsidR="003C5A95" w:rsidRPr="00B745A4" w:rsidRDefault="00B745A4" w:rsidP="00B745A4">
      <w:pPr>
        <w:adjustRightInd w:val="0"/>
        <w:snapToGrid w:val="0"/>
        <w:spacing w:line="600" w:lineRule="exact"/>
        <w:ind w:firstLineChars="200" w:firstLine="640"/>
        <w:rPr>
          <w:rFonts w:ascii="仿宋_GB2312" w:eastAsia="仿宋_GB2312" w:hAnsi="Times New Roman" w:cs="Times New Roman" w:hint="eastAsia"/>
          <w:sz w:val="32"/>
          <w:szCs w:val="32"/>
        </w:rPr>
      </w:pPr>
      <w:r w:rsidRPr="00B745A4">
        <w:rPr>
          <w:rFonts w:ascii="仿宋_GB2312" w:eastAsia="仿宋_GB2312" w:hAnsi="Times New Roman" w:cs="Times New Roman" w:hint="eastAsia"/>
          <w:sz w:val="32"/>
          <w:szCs w:val="32"/>
        </w:rPr>
        <w:t>黄曲霉毒素B</w:t>
      </w:r>
      <w:r w:rsidRPr="00B745A4">
        <w:rPr>
          <w:rFonts w:ascii="仿宋_GB2312" w:eastAsia="仿宋_GB2312" w:hAnsi="Times New Roman" w:cs="Times New Roman" w:hint="eastAsia"/>
          <w:szCs w:val="32"/>
        </w:rPr>
        <w:t>1</w:t>
      </w:r>
      <w:r w:rsidRPr="00B745A4">
        <w:rPr>
          <w:rFonts w:ascii="仿宋_GB2312" w:eastAsia="仿宋_GB2312" w:hAnsi="Times New Roman" w:cs="Times New Roman" w:hint="eastAsia"/>
          <w:sz w:val="32"/>
          <w:szCs w:val="32"/>
        </w:rPr>
        <w:t>是一种强致癌性物质，其毒性作用主要是对肝脏的损害。《食品安全国家标准 食品中真菌毒素限量》（GB2761—2017）中规定，黄曲霉毒素B</w:t>
      </w:r>
      <w:r w:rsidRPr="00093F91">
        <w:rPr>
          <w:rFonts w:ascii="仿宋_GB2312" w:eastAsia="仿宋_GB2312" w:hAnsi="Times New Roman" w:cs="Times New Roman" w:hint="eastAsia"/>
          <w:szCs w:val="32"/>
        </w:rPr>
        <w:t>1</w:t>
      </w:r>
      <w:r w:rsidRPr="00B745A4">
        <w:rPr>
          <w:rFonts w:ascii="仿宋_GB2312" w:eastAsia="仿宋_GB2312" w:hAnsi="Times New Roman" w:cs="Times New Roman" w:hint="eastAsia"/>
          <w:sz w:val="32"/>
          <w:szCs w:val="32"/>
        </w:rPr>
        <w:t>在花生油中的最大限量为20μg/kg。造成食品中黄曲霉毒素不合格的主要原因有：原料在种植、采收、运输及储存过程中受到黄曲霉等霉菌污染产毒，生产经营企业没有严格挑拣原料</w:t>
      </w:r>
      <w:bookmarkStart w:id="0" w:name="_GoBack"/>
      <w:bookmarkEnd w:id="0"/>
      <w:r w:rsidRPr="00B745A4">
        <w:rPr>
          <w:rFonts w:ascii="仿宋_GB2312" w:eastAsia="仿宋_GB2312" w:hAnsi="Times New Roman" w:cs="Times New Roman" w:hint="eastAsia"/>
          <w:sz w:val="32"/>
          <w:szCs w:val="32"/>
        </w:rPr>
        <w:t>和进行相关检测，或工艺控制不当。</w:t>
      </w:r>
    </w:p>
    <w:p w:rsidR="009513B0" w:rsidRDefault="002E57A0" w:rsidP="003C5A95">
      <w:pPr>
        <w:pStyle w:val="af"/>
        <w:numPr>
          <w:ilvl w:val="0"/>
          <w:numId w:val="1"/>
        </w:numPr>
        <w:adjustRightInd w:val="0"/>
        <w:snapToGrid w:val="0"/>
        <w:spacing w:line="600" w:lineRule="exact"/>
        <w:ind w:firstLineChars="0"/>
        <w:rPr>
          <w:rFonts w:ascii="黑体" w:eastAsia="黑体" w:hAnsi="黑体" w:cs="Arial"/>
          <w:kern w:val="0"/>
          <w:sz w:val="32"/>
          <w:szCs w:val="32"/>
        </w:rPr>
      </w:pPr>
      <w:r w:rsidRPr="002E57A0">
        <w:rPr>
          <w:rFonts w:ascii="黑体" w:eastAsia="黑体" w:hAnsi="黑体" w:cs="Arial" w:hint="eastAsia"/>
          <w:kern w:val="0"/>
          <w:sz w:val="32"/>
          <w:szCs w:val="32"/>
        </w:rPr>
        <w:t>山梨酸及其钾盐</w:t>
      </w:r>
      <w:r w:rsidR="009F6890" w:rsidRPr="009F6890">
        <w:rPr>
          <w:rFonts w:ascii="黑体" w:eastAsia="黑体" w:hAnsi="黑体" w:cs="Arial" w:hint="eastAsia"/>
          <w:kern w:val="0"/>
          <w:sz w:val="32"/>
          <w:szCs w:val="32"/>
        </w:rPr>
        <w:t>(以山梨酸计）</w:t>
      </w:r>
    </w:p>
    <w:p w:rsidR="00CE54D1" w:rsidRPr="00CE54D1" w:rsidRDefault="00347900" w:rsidP="00CE54D1">
      <w:pPr>
        <w:adjustRightInd w:val="0"/>
        <w:snapToGrid w:val="0"/>
        <w:spacing w:line="600" w:lineRule="exact"/>
        <w:ind w:firstLineChars="200" w:firstLine="640"/>
        <w:rPr>
          <w:rFonts w:ascii="仿宋_GB2312" w:eastAsia="仿宋_GB2312" w:hAnsi="Times New Roman" w:cs="Times New Roman"/>
          <w:sz w:val="32"/>
          <w:szCs w:val="32"/>
        </w:rPr>
      </w:pPr>
      <w:r w:rsidRPr="00347900">
        <w:rPr>
          <w:rFonts w:ascii="仿宋_GB2312" w:eastAsia="仿宋_GB2312" w:hAnsi="Times New Roman" w:cs="Times New Roman" w:hint="eastAsia"/>
          <w:sz w:val="32"/>
          <w:szCs w:val="32"/>
        </w:rPr>
        <w:t>山梨酸</w:t>
      </w:r>
      <w:r w:rsidR="009F6890">
        <w:rPr>
          <w:rFonts w:ascii="仿宋_GB2312" w:eastAsia="仿宋_GB2312" w:hAnsi="Times New Roman" w:cs="Times New Roman" w:hint="eastAsia"/>
          <w:sz w:val="32"/>
          <w:szCs w:val="32"/>
        </w:rPr>
        <w:t>又名</w:t>
      </w:r>
      <w:r w:rsidR="009F6890">
        <w:rPr>
          <w:rFonts w:ascii="仿宋_GB2312" w:eastAsia="仿宋_GB2312" w:hAnsi="Times New Roman" w:cs="Times New Roman"/>
          <w:sz w:val="32"/>
          <w:szCs w:val="32"/>
        </w:rPr>
        <w:t>花秋酸，多用其</w:t>
      </w:r>
      <w:r w:rsidR="009F6890">
        <w:rPr>
          <w:rFonts w:ascii="仿宋_GB2312" w:eastAsia="仿宋_GB2312" w:hAnsi="Times New Roman" w:cs="Times New Roman" w:hint="eastAsia"/>
          <w:sz w:val="32"/>
          <w:szCs w:val="32"/>
        </w:rPr>
        <w:t>钾</w:t>
      </w:r>
      <w:r w:rsidR="009F6890">
        <w:rPr>
          <w:rFonts w:ascii="仿宋_GB2312" w:eastAsia="仿宋_GB2312" w:hAnsi="Times New Roman" w:cs="Times New Roman"/>
          <w:sz w:val="32"/>
          <w:szCs w:val="32"/>
        </w:rPr>
        <w:t>盐</w:t>
      </w:r>
      <w:r w:rsidR="009F6890">
        <w:rPr>
          <w:rFonts w:ascii="仿宋_GB2312" w:eastAsia="仿宋_GB2312" w:hAnsi="Times New Roman" w:cs="Times New Roman" w:hint="eastAsia"/>
          <w:sz w:val="32"/>
          <w:szCs w:val="32"/>
        </w:rPr>
        <w:t>。其抗菌</w:t>
      </w:r>
      <w:r w:rsidR="009F6890">
        <w:rPr>
          <w:rFonts w:ascii="仿宋_GB2312" w:eastAsia="仿宋_GB2312" w:hAnsi="Times New Roman" w:cs="Times New Roman"/>
          <w:sz w:val="32"/>
          <w:szCs w:val="32"/>
        </w:rPr>
        <w:t>性强，能抑制细菌、真菌和酵母的生长，防腐效果好，是目前应用非常广泛的食品防腐剂。</w:t>
      </w:r>
      <w:r w:rsidR="00241FD9">
        <w:rPr>
          <w:rFonts w:ascii="仿宋_GB2312" w:eastAsia="仿宋_GB2312" w:hAnsi="Times New Roman" w:cs="Times New Roman" w:hint="eastAsia"/>
          <w:sz w:val="32"/>
          <w:szCs w:val="32"/>
        </w:rPr>
        <w:t>山梨</w:t>
      </w:r>
      <w:r w:rsidR="00241FD9">
        <w:rPr>
          <w:rFonts w:ascii="仿宋_GB2312" w:eastAsia="仿宋_GB2312" w:hAnsi="Times New Roman" w:cs="Times New Roman"/>
          <w:sz w:val="32"/>
          <w:szCs w:val="32"/>
        </w:rPr>
        <w:t>酸可</w:t>
      </w:r>
      <w:r w:rsidR="00241FD9">
        <w:rPr>
          <w:rFonts w:ascii="仿宋_GB2312" w:eastAsia="仿宋_GB2312" w:hAnsi="Times New Roman" w:cs="Times New Roman" w:hint="eastAsia"/>
          <w:sz w:val="32"/>
          <w:szCs w:val="32"/>
        </w:rPr>
        <w:t>参</w:t>
      </w:r>
      <w:r w:rsidR="00241FD9">
        <w:rPr>
          <w:rFonts w:ascii="仿宋_GB2312" w:eastAsia="仿宋_GB2312" w:hAnsi="Times New Roman" w:cs="Times New Roman"/>
          <w:sz w:val="32"/>
          <w:szCs w:val="32"/>
        </w:rPr>
        <w:t>与体内正常代谢，</w:t>
      </w:r>
      <w:r w:rsidR="00241FD9">
        <w:rPr>
          <w:rFonts w:ascii="仿宋_GB2312" w:eastAsia="仿宋_GB2312" w:hAnsi="Times New Roman" w:cs="Times New Roman" w:hint="eastAsia"/>
          <w:sz w:val="32"/>
          <w:szCs w:val="32"/>
        </w:rPr>
        <w:t>几乎</w:t>
      </w:r>
      <w:r w:rsidR="00241FD9">
        <w:rPr>
          <w:rFonts w:ascii="仿宋_GB2312" w:eastAsia="仿宋_GB2312" w:hAnsi="Times New Roman" w:cs="Times New Roman"/>
          <w:sz w:val="32"/>
          <w:szCs w:val="32"/>
        </w:rPr>
        <w:t>对人体无害。</w:t>
      </w:r>
      <w:r w:rsidR="00241FD9">
        <w:rPr>
          <w:rFonts w:ascii="仿宋_GB2312" w:eastAsia="仿宋_GB2312" w:hAnsi="Times New Roman" w:cs="Times New Roman" w:hint="eastAsia"/>
          <w:sz w:val="32"/>
          <w:szCs w:val="32"/>
        </w:rPr>
        <w:t>只要</w:t>
      </w:r>
      <w:r w:rsidR="00241FD9">
        <w:rPr>
          <w:rFonts w:ascii="仿宋_GB2312" w:eastAsia="仿宋_GB2312" w:hAnsi="Times New Roman" w:cs="Times New Roman"/>
          <w:sz w:val="32"/>
          <w:szCs w:val="32"/>
        </w:rPr>
        <w:t>摄入量在食品</w:t>
      </w:r>
      <w:r w:rsidRPr="00347900">
        <w:rPr>
          <w:rFonts w:ascii="仿宋_GB2312" w:eastAsia="仿宋_GB2312" w:hAnsi="Times New Roman" w:cs="Times New Roman" w:hint="eastAsia"/>
          <w:sz w:val="32"/>
          <w:szCs w:val="32"/>
        </w:rPr>
        <w:t>安全</w:t>
      </w:r>
      <w:r w:rsidR="00241FD9">
        <w:rPr>
          <w:rFonts w:ascii="仿宋_GB2312" w:eastAsia="仿宋_GB2312" w:hAnsi="Times New Roman" w:cs="Times New Roman" w:hint="eastAsia"/>
          <w:sz w:val="32"/>
          <w:szCs w:val="32"/>
        </w:rPr>
        <w:t>限量</w:t>
      </w:r>
      <w:r w:rsidR="00241FD9">
        <w:rPr>
          <w:rFonts w:ascii="仿宋_GB2312" w:eastAsia="仿宋_GB2312" w:hAnsi="Times New Roman" w:cs="Times New Roman"/>
          <w:sz w:val="32"/>
          <w:szCs w:val="32"/>
        </w:rPr>
        <w:t>范围内并</w:t>
      </w:r>
      <w:r w:rsidR="00241FD9">
        <w:rPr>
          <w:rFonts w:ascii="仿宋_GB2312" w:eastAsia="仿宋_GB2312" w:hAnsi="Times New Roman" w:cs="Times New Roman" w:hint="eastAsia"/>
          <w:sz w:val="32"/>
          <w:szCs w:val="32"/>
        </w:rPr>
        <w:t>不</w:t>
      </w:r>
      <w:r w:rsidR="00241FD9">
        <w:rPr>
          <w:rFonts w:ascii="仿宋_GB2312" w:eastAsia="仿宋_GB2312" w:hAnsi="Times New Roman" w:cs="Times New Roman"/>
          <w:sz w:val="32"/>
          <w:szCs w:val="32"/>
        </w:rPr>
        <w:t>影响人体健康，如果</w:t>
      </w:r>
      <w:r w:rsidR="00241FD9">
        <w:rPr>
          <w:rFonts w:ascii="仿宋_GB2312" w:eastAsia="仿宋_GB2312" w:hAnsi="Times New Roman" w:cs="Times New Roman" w:hint="eastAsia"/>
          <w:sz w:val="32"/>
          <w:szCs w:val="32"/>
        </w:rPr>
        <w:t>长期</w:t>
      </w:r>
      <w:r w:rsidR="00241FD9">
        <w:rPr>
          <w:rFonts w:ascii="仿宋_GB2312" w:eastAsia="仿宋_GB2312" w:hAnsi="Times New Roman" w:cs="Times New Roman"/>
          <w:sz w:val="32"/>
          <w:szCs w:val="32"/>
        </w:rPr>
        <w:t>大量</w:t>
      </w:r>
      <w:r w:rsidRPr="00347900">
        <w:rPr>
          <w:rFonts w:ascii="仿宋_GB2312" w:eastAsia="仿宋_GB2312" w:hAnsi="Times New Roman" w:cs="Times New Roman" w:hint="eastAsia"/>
          <w:sz w:val="32"/>
          <w:szCs w:val="32"/>
        </w:rPr>
        <w:t>服用，</w:t>
      </w:r>
      <w:r w:rsidR="00241FD9">
        <w:rPr>
          <w:rFonts w:ascii="仿宋_GB2312" w:eastAsia="仿宋_GB2312" w:hAnsi="Times New Roman" w:cs="Times New Roman" w:hint="eastAsia"/>
          <w:sz w:val="32"/>
          <w:szCs w:val="32"/>
        </w:rPr>
        <w:t>会</w:t>
      </w:r>
      <w:r w:rsidR="00241FD9">
        <w:rPr>
          <w:rFonts w:ascii="仿宋_GB2312" w:eastAsia="仿宋_GB2312" w:hAnsi="Times New Roman" w:cs="Times New Roman"/>
          <w:sz w:val="32"/>
          <w:szCs w:val="32"/>
        </w:rPr>
        <w:t>对肝脏、肾脏、</w:t>
      </w:r>
      <w:r w:rsidR="00241FD9">
        <w:rPr>
          <w:rFonts w:ascii="仿宋_GB2312" w:eastAsia="仿宋_GB2312" w:hAnsi="Times New Roman" w:cs="Times New Roman" w:hint="eastAsia"/>
          <w:sz w:val="32"/>
          <w:szCs w:val="32"/>
        </w:rPr>
        <w:t>骨骼</w:t>
      </w:r>
      <w:r w:rsidR="00241FD9">
        <w:rPr>
          <w:rFonts w:ascii="仿宋_GB2312" w:eastAsia="仿宋_GB2312" w:hAnsi="Times New Roman" w:cs="Times New Roman"/>
          <w:sz w:val="32"/>
          <w:szCs w:val="32"/>
        </w:rPr>
        <w:t>造成</w:t>
      </w:r>
      <w:r w:rsidRPr="00347900">
        <w:rPr>
          <w:rFonts w:ascii="仿宋_GB2312" w:eastAsia="仿宋_GB2312" w:hAnsi="Times New Roman" w:cs="Times New Roman" w:hint="eastAsia"/>
          <w:sz w:val="32"/>
          <w:szCs w:val="32"/>
        </w:rPr>
        <w:t>危害。</w:t>
      </w:r>
      <w:r w:rsidR="00241FD9">
        <w:rPr>
          <w:rFonts w:ascii="仿宋_GB2312" w:eastAsia="仿宋_GB2312" w:hAnsi="Times New Roman" w:cs="Times New Roman" w:hint="eastAsia"/>
          <w:sz w:val="32"/>
          <w:szCs w:val="32"/>
        </w:rPr>
        <w:t>造成食品</w:t>
      </w:r>
      <w:r w:rsidR="00241FD9">
        <w:rPr>
          <w:rFonts w:ascii="仿宋_GB2312" w:eastAsia="仿宋_GB2312" w:hAnsi="Times New Roman" w:cs="Times New Roman"/>
          <w:sz w:val="32"/>
          <w:szCs w:val="32"/>
        </w:rPr>
        <w:t>中山梨酸</w:t>
      </w:r>
      <w:r w:rsidRPr="00347900">
        <w:rPr>
          <w:rFonts w:ascii="仿宋_GB2312" w:eastAsia="仿宋_GB2312" w:hAnsi="Times New Roman" w:cs="Times New Roman" w:hint="eastAsia"/>
          <w:sz w:val="32"/>
          <w:szCs w:val="32"/>
        </w:rPr>
        <w:t>不合格</w:t>
      </w:r>
      <w:r w:rsidR="00241FD9">
        <w:rPr>
          <w:rFonts w:ascii="仿宋_GB2312" w:eastAsia="仿宋_GB2312" w:hAnsi="Times New Roman" w:cs="Times New Roman" w:hint="eastAsia"/>
          <w:sz w:val="32"/>
          <w:szCs w:val="32"/>
        </w:rPr>
        <w:t>的</w:t>
      </w:r>
      <w:r w:rsidR="00241FD9">
        <w:rPr>
          <w:rFonts w:ascii="仿宋_GB2312" w:eastAsia="仿宋_GB2312" w:hAnsi="Times New Roman" w:cs="Times New Roman"/>
          <w:sz w:val="32"/>
          <w:szCs w:val="32"/>
        </w:rPr>
        <w:t>主要</w:t>
      </w:r>
      <w:r w:rsidRPr="00347900">
        <w:rPr>
          <w:rFonts w:ascii="仿宋_GB2312" w:eastAsia="仿宋_GB2312" w:hAnsi="Times New Roman" w:cs="Times New Roman" w:hint="eastAsia"/>
          <w:sz w:val="32"/>
          <w:szCs w:val="32"/>
        </w:rPr>
        <w:t>原因</w:t>
      </w:r>
      <w:r w:rsidR="00241FD9">
        <w:rPr>
          <w:rFonts w:ascii="仿宋_GB2312" w:eastAsia="仿宋_GB2312" w:hAnsi="Times New Roman" w:cs="Times New Roman" w:hint="eastAsia"/>
          <w:sz w:val="32"/>
          <w:szCs w:val="32"/>
        </w:rPr>
        <w:t>有</w:t>
      </w:r>
      <w:r w:rsidR="00241FD9">
        <w:rPr>
          <w:rFonts w:ascii="仿宋_GB2312" w:eastAsia="仿宋_GB2312" w:hAnsi="Times New Roman" w:cs="Times New Roman"/>
          <w:sz w:val="32"/>
          <w:szCs w:val="32"/>
        </w:rPr>
        <w:t>：生产经营企业为延长产品保质期，或者弥补产品生产</w:t>
      </w:r>
      <w:r w:rsidRPr="00347900">
        <w:rPr>
          <w:rFonts w:ascii="仿宋_GB2312" w:eastAsia="仿宋_GB2312" w:hAnsi="Times New Roman" w:cs="Times New Roman" w:hint="eastAsia"/>
          <w:sz w:val="32"/>
          <w:szCs w:val="32"/>
        </w:rPr>
        <w:t>过程</w:t>
      </w:r>
      <w:r w:rsidR="00241FD9">
        <w:rPr>
          <w:rFonts w:ascii="仿宋_GB2312" w:eastAsia="仿宋_GB2312" w:hAnsi="Times New Roman" w:cs="Times New Roman" w:hint="eastAsia"/>
          <w:sz w:val="32"/>
          <w:szCs w:val="32"/>
        </w:rPr>
        <w:t>卫生</w:t>
      </w:r>
      <w:r w:rsidR="00241FD9">
        <w:rPr>
          <w:rFonts w:ascii="仿宋_GB2312" w:eastAsia="仿宋_GB2312" w:hAnsi="Times New Roman" w:cs="Times New Roman"/>
          <w:sz w:val="32"/>
          <w:szCs w:val="32"/>
        </w:rPr>
        <w:t>条件不佳而超限量、超范围使用，或者未</w:t>
      </w:r>
      <w:r w:rsidR="00241FD9">
        <w:rPr>
          <w:rFonts w:ascii="仿宋_GB2312" w:eastAsia="仿宋_GB2312" w:hAnsi="Times New Roman" w:cs="Times New Roman" w:hint="eastAsia"/>
          <w:sz w:val="32"/>
          <w:szCs w:val="32"/>
        </w:rPr>
        <w:t>准确</w:t>
      </w:r>
      <w:r w:rsidR="00241FD9">
        <w:rPr>
          <w:rFonts w:ascii="仿宋_GB2312" w:eastAsia="仿宋_GB2312" w:hAnsi="Times New Roman" w:cs="Times New Roman"/>
          <w:sz w:val="32"/>
          <w:szCs w:val="32"/>
        </w:rPr>
        <w:t>计量。</w:t>
      </w:r>
    </w:p>
    <w:sectPr w:rsidR="00CE54D1" w:rsidRPr="00CE54D1" w:rsidSect="00CB5C84">
      <w:footerReference w:type="default" r:id="rId9"/>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158" w:rsidRDefault="00EE7158" w:rsidP="00CB5C84">
      <w:r>
        <w:separator/>
      </w:r>
    </w:p>
  </w:endnote>
  <w:endnote w:type="continuationSeparator" w:id="0">
    <w:p w:rsidR="00EE7158" w:rsidRDefault="00EE7158" w:rsidP="00CB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087551"/>
    </w:sdtPr>
    <w:sdtEndPr/>
    <w:sdtContent>
      <w:p w:rsidR="00CB5C84" w:rsidRDefault="002354ED">
        <w:pPr>
          <w:pStyle w:val="a9"/>
          <w:jc w:val="center"/>
        </w:pPr>
        <w:r>
          <w:fldChar w:fldCharType="begin"/>
        </w:r>
        <w:r w:rsidR="008F0BD8">
          <w:instrText>PAGE   \* MERGEFORMAT</w:instrText>
        </w:r>
        <w:r>
          <w:fldChar w:fldCharType="separate"/>
        </w:r>
        <w:r w:rsidR="00701320" w:rsidRPr="00701320">
          <w:rPr>
            <w:noProof/>
            <w:lang w:val="zh-CN"/>
          </w:rPr>
          <w:t>2</w:t>
        </w:r>
        <w:r>
          <w:fldChar w:fldCharType="end"/>
        </w:r>
      </w:p>
    </w:sdtContent>
  </w:sdt>
  <w:p w:rsidR="00CB5C84" w:rsidRDefault="00CB5C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158" w:rsidRDefault="00EE7158" w:rsidP="00CB5C84">
      <w:r>
        <w:separator/>
      </w:r>
    </w:p>
  </w:footnote>
  <w:footnote w:type="continuationSeparator" w:id="0">
    <w:p w:rsidR="00EE7158" w:rsidRDefault="00EE7158" w:rsidP="00CB5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10099"/>
    <w:multiLevelType w:val="hybridMultilevel"/>
    <w:tmpl w:val="33EE89AE"/>
    <w:lvl w:ilvl="0" w:tplc="45D674B2">
      <w:start w:val="6"/>
      <w:numFmt w:val="decimal"/>
      <w:lvlText w:val="%1、"/>
      <w:lvlJc w:val="left"/>
      <w:pPr>
        <w:ind w:left="200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CBF1211"/>
    <w:multiLevelType w:val="hybridMultilevel"/>
    <w:tmpl w:val="8216F0BA"/>
    <w:lvl w:ilvl="0" w:tplc="B9241BBC">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E3E4728"/>
    <w:multiLevelType w:val="hybridMultilevel"/>
    <w:tmpl w:val="051C6FB4"/>
    <w:lvl w:ilvl="0" w:tplc="45D674B2">
      <w:start w:val="6"/>
      <w:numFmt w:val="decimal"/>
      <w:lvlText w:val="%1、"/>
      <w:lvlJc w:val="left"/>
      <w:pPr>
        <w:ind w:left="136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noPunctuationKerning/>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F03"/>
    <w:rsid w:val="00001187"/>
    <w:rsid w:val="0000231D"/>
    <w:rsid w:val="0000397C"/>
    <w:rsid w:val="000066C1"/>
    <w:rsid w:val="00006A34"/>
    <w:rsid w:val="00007DAA"/>
    <w:rsid w:val="00011AFA"/>
    <w:rsid w:val="00013D39"/>
    <w:rsid w:val="0001597D"/>
    <w:rsid w:val="000169B4"/>
    <w:rsid w:val="00026A4D"/>
    <w:rsid w:val="00042AA1"/>
    <w:rsid w:val="00044E73"/>
    <w:rsid w:val="000506C6"/>
    <w:rsid w:val="000547DA"/>
    <w:rsid w:val="00057C9D"/>
    <w:rsid w:val="0006147E"/>
    <w:rsid w:val="000631CF"/>
    <w:rsid w:val="00064BEB"/>
    <w:rsid w:val="0007233C"/>
    <w:rsid w:val="00072CFF"/>
    <w:rsid w:val="00073F8A"/>
    <w:rsid w:val="00075B95"/>
    <w:rsid w:val="000800AE"/>
    <w:rsid w:val="000815A2"/>
    <w:rsid w:val="00082CA4"/>
    <w:rsid w:val="0008412D"/>
    <w:rsid w:val="00086749"/>
    <w:rsid w:val="00087163"/>
    <w:rsid w:val="00093BC3"/>
    <w:rsid w:val="00093BFF"/>
    <w:rsid w:val="00093F91"/>
    <w:rsid w:val="00097E5A"/>
    <w:rsid w:val="000A055F"/>
    <w:rsid w:val="000A0DB2"/>
    <w:rsid w:val="000A1CA7"/>
    <w:rsid w:val="000A47F1"/>
    <w:rsid w:val="000B1424"/>
    <w:rsid w:val="000C15AC"/>
    <w:rsid w:val="000C5E78"/>
    <w:rsid w:val="000C6E54"/>
    <w:rsid w:val="000D0E4F"/>
    <w:rsid w:val="000D32CA"/>
    <w:rsid w:val="000D352B"/>
    <w:rsid w:val="000D5CF4"/>
    <w:rsid w:val="000D6255"/>
    <w:rsid w:val="000D7DB8"/>
    <w:rsid w:val="000E50D5"/>
    <w:rsid w:val="000F2D7A"/>
    <w:rsid w:val="000F33F4"/>
    <w:rsid w:val="000F4B86"/>
    <w:rsid w:val="0010108B"/>
    <w:rsid w:val="00102897"/>
    <w:rsid w:val="00113712"/>
    <w:rsid w:val="00116705"/>
    <w:rsid w:val="00120CFE"/>
    <w:rsid w:val="00123ED7"/>
    <w:rsid w:val="00124BDE"/>
    <w:rsid w:val="001260C7"/>
    <w:rsid w:val="00126A34"/>
    <w:rsid w:val="00131F1B"/>
    <w:rsid w:val="00137D5F"/>
    <w:rsid w:val="00143CEB"/>
    <w:rsid w:val="00144760"/>
    <w:rsid w:val="001469CF"/>
    <w:rsid w:val="00146D70"/>
    <w:rsid w:val="001502B3"/>
    <w:rsid w:val="00150B97"/>
    <w:rsid w:val="00150D3C"/>
    <w:rsid w:val="00152450"/>
    <w:rsid w:val="0015289F"/>
    <w:rsid w:val="00156C2C"/>
    <w:rsid w:val="00164FAA"/>
    <w:rsid w:val="00165889"/>
    <w:rsid w:val="0016724E"/>
    <w:rsid w:val="00171267"/>
    <w:rsid w:val="00171773"/>
    <w:rsid w:val="001723A6"/>
    <w:rsid w:val="00172D9B"/>
    <w:rsid w:val="00175314"/>
    <w:rsid w:val="0017601B"/>
    <w:rsid w:val="001901F9"/>
    <w:rsid w:val="001A4EB4"/>
    <w:rsid w:val="001A6ADF"/>
    <w:rsid w:val="001A6EF1"/>
    <w:rsid w:val="001B7097"/>
    <w:rsid w:val="001B7FF9"/>
    <w:rsid w:val="001C4310"/>
    <w:rsid w:val="001C670E"/>
    <w:rsid w:val="001D1E3F"/>
    <w:rsid w:val="001D5FAE"/>
    <w:rsid w:val="001E7C5C"/>
    <w:rsid w:val="001F0A37"/>
    <w:rsid w:val="001F5AD9"/>
    <w:rsid w:val="002000FC"/>
    <w:rsid w:val="00200A29"/>
    <w:rsid w:val="0020371B"/>
    <w:rsid w:val="0020480C"/>
    <w:rsid w:val="00204EEB"/>
    <w:rsid w:val="00205580"/>
    <w:rsid w:val="002113AD"/>
    <w:rsid w:val="0021156F"/>
    <w:rsid w:val="00223274"/>
    <w:rsid w:val="00224118"/>
    <w:rsid w:val="00226B10"/>
    <w:rsid w:val="002354ED"/>
    <w:rsid w:val="002372CC"/>
    <w:rsid w:val="00241FD9"/>
    <w:rsid w:val="00245BEA"/>
    <w:rsid w:val="002476E5"/>
    <w:rsid w:val="00250273"/>
    <w:rsid w:val="00252D10"/>
    <w:rsid w:val="00252F5E"/>
    <w:rsid w:val="00260804"/>
    <w:rsid w:val="00260FFE"/>
    <w:rsid w:val="00261C11"/>
    <w:rsid w:val="00261D54"/>
    <w:rsid w:val="00262621"/>
    <w:rsid w:val="00281770"/>
    <w:rsid w:val="002866A3"/>
    <w:rsid w:val="0029364F"/>
    <w:rsid w:val="00296D09"/>
    <w:rsid w:val="002A5BF1"/>
    <w:rsid w:val="002B4283"/>
    <w:rsid w:val="002C005C"/>
    <w:rsid w:val="002C19A9"/>
    <w:rsid w:val="002C2BBF"/>
    <w:rsid w:val="002D1607"/>
    <w:rsid w:val="002D2547"/>
    <w:rsid w:val="002D2D3B"/>
    <w:rsid w:val="002D490C"/>
    <w:rsid w:val="002D6A94"/>
    <w:rsid w:val="002E57A0"/>
    <w:rsid w:val="002F1A53"/>
    <w:rsid w:val="002F4A5C"/>
    <w:rsid w:val="00300325"/>
    <w:rsid w:val="003022CD"/>
    <w:rsid w:val="00304B34"/>
    <w:rsid w:val="00306096"/>
    <w:rsid w:val="0031424A"/>
    <w:rsid w:val="00324480"/>
    <w:rsid w:val="0034206F"/>
    <w:rsid w:val="003437FE"/>
    <w:rsid w:val="0034436D"/>
    <w:rsid w:val="00344C27"/>
    <w:rsid w:val="003455E6"/>
    <w:rsid w:val="00347900"/>
    <w:rsid w:val="0035112B"/>
    <w:rsid w:val="00357F27"/>
    <w:rsid w:val="00362896"/>
    <w:rsid w:val="003703FD"/>
    <w:rsid w:val="00371B93"/>
    <w:rsid w:val="003742E8"/>
    <w:rsid w:val="00382112"/>
    <w:rsid w:val="00383988"/>
    <w:rsid w:val="0038633A"/>
    <w:rsid w:val="00395FB8"/>
    <w:rsid w:val="003A243B"/>
    <w:rsid w:val="003B0511"/>
    <w:rsid w:val="003B1839"/>
    <w:rsid w:val="003C1063"/>
    <w:rsid w:val="003C5A95"/>
    <w:rsid w:val="003D279A"/>
    <w:rsid w:val="003D473C"/>
    <w:rsid w:val="003D7A51"/>
    <w:rsid w:val="003E2C3E"/>
    <w:rsid w:val="003E3244"/>
    <w:rsid w:val="003E4E18"/>
    <w:rsid w:val="003F7276"/>
    <w:rsid w:val="00404249"/>
    <w:rsid w:val="00407670"/>
    <w:rsid w:val="00407DBF"/>
    <w:rsid w:val="00412DAF"/>
    <w:rsid w:val="0041319F"/>
    <w:rsid w:val="0041724F"/>
    <w:rsid w:val="00417336"/>
    <w:rsid w:val="00417AEE"/>
    <w:rsid w:val="0042077A"/>
    <w:rsid w:val="004364F8"/>
    <w:rsid w:val="0043783B"/>
    <w:rsid w:val="00437E56"/>
    <w:rsid w:val="004405E2"/>
    <w:rsid w:val="00443684"/>
    <w:rsid w:val="004457A1"/>
    <w:rsid w:val="004478FC"/>
    <w:rsid w:val="004513E4"/>
    <w:rsid w:val="00453373"/>
    <w:rsid w:val="0045394C"/>
    <w:rsid w:val="00454856"/>
    <w:rsid w:val="0045491F"/>
    <w:rsid w:val="00471090"/>
    <w:rsid w:val="00471AF7"/>
    <w:rsid w:val="00475CA2"/>
    <w:rsid w:val="00477363"/>
    <w:rsid w:val="00481AFC"/>
    <w:rsid w:val="00485881"/>
    <w:rsid w:val="00492DE1"/>
    <w:rsid w:val="0049418F"/>
    <w:rsid w:val="00494BF9"/>
    <w:rsid w:val="00494CEF"/>
    <w:rsid w:val="004A00F9"/>
    <w:rsid w:val="004A1116"/>
    <w:rsid w:val="004A38BB"/>
    <w:rsid w:val="004A5216"/>
    <w:rsid w:val="004A579B"/>
    <w:rsid w:val="004A654B"/>
    <w:rsid w:val="004A73D7"/>
    <w:rsid w:val="004B3A2A"/>
    <w:rsid w:val="004C2EFF"/>
    <w:rsid w:val="004C6392"/>
    <w:rsid w:val="004D01DA"/>
    <w:rsid w:val="004D2A8A"/>
    <w:rsid w:val="004D5A54"/>
    <w:rsid w:val="004D64B2"/>
    <w:rsid w:val="004D7117"/>
    <w:rsid w:val="004D734A"/>
    <w:rsid w:val="004E1074"/>
    <w:rsid w:val="004E1DBB"/>
    <w:rsid w:val="004E3A22"/>
    <w:rsid w:val="004E7183"/>
    <w:rsid w:val="004F3D58"/>
    <w:rsid w:val="00515393"/>
    <w:rsid w:val="005201F1"/>
    <w:rsid w:val="00520B43"/>
    <w:rsid w:val="00523582"/>
    <w:rsid w:val="00526FCB"/>
    <w:rsid w:val="00530EAC"/>
    <w:rsid w:val="005317AB"/>
    <w:rsid w:val="00534A48"/>
    <w:rsid w:val="00540E76"/>
    <w:rsid w:val="005425E0"/>
    <w:rsid w:val="005450FF"/>
    <w:rsid w:val="005464B9"/>
    <w:rsid w:val="00546FD2"/>
    <w:rsid w:val="0055475A"/>
    <w:rsid w:val="005548CE"/>
    <w:rsid w:val="00557D55"/>
    <w:rsid w:val="00557E69"/>
    <w:rsid w:val="00562EF1"/>
    <w:rsid w:val="005636B1"/>
    <w:rsid w:val="0057056D"/>
    <w:rsid w:val="0057524F"/>
    <w:rsid w:val="005771A5"/>
    <w:rsid w:val="00580A09"/>
    <w:rsid w:val="0058530C"/>
    <w:rsid w:val="00585511"/>
    <w:rsid w:val="00587E84"/>
    <w:rsid w:val="005918CF"/>
    <w:rsid w:val="00593DD9"/>
    <w:rsid w:val="005A35D1"/>
    <w:rsid w:val="005A66B8"/>
    <w:rsid w:val="005B48CA"/>
    <w:rsid w:val="005B58B4"/>
    <w:rsid w:val="005C0266"/>
    <w:rsid w:val="005C1007"/>
    <w:rsid w:val="005D6D4E"/>
    <w:rsid w:val="005D7D45"/>
    <w:rsid w:val="005E1678"/>
    <w:rsid w:val="005E3D6A"/>
    <w:rsid w:val="005E72CB"/>
    <w:rsid w:val="005F1D40"/>
    <w:rsid w:val="005F459B"/>
    <w:rsid w:val="006032B8"/>
    <w:rsid w:val="00606413"/>
    <w:rsid w:val="00606BB3"/>
    <w:rsid w:val="00610E10"/>
    <w:rsid w:val="00610E8C"/>
    <w:rsid w:val="00611F59"/>
    <w:rsid w:val="00613BF8"/>
    <w:rsid w:val="00613F78"/>
    <w:rsid w:val="00615A03"/>
    <w:rsid w:val="00617A48"/>
    <w:rsid w:val="0062016F"/>
    <w:rsid w:val="006216B6"/>
    <w:rsid w:val="006256E1"/>
    <w:rsid w:val="00643207"/>
    <w:rsid w:val="00645068"/>
    <w:rsid w:val="0065480F"/>
    <w:rsid w:val="00654FF5"/>
    <w:rsid w:val="00662754"/>
    <w:rsid w:val="00667F07"/>
    <w:rsid w:val="006704A7"/>
    <w:rsid w:val="00674ABF"/>
    <w:rsid w:val="00676F32"/>
    <w:rsid w:val="006807AC"/>
    <w:rsid w:val="00682100"/>
    <w:rsid w:val="0068706D"/>
    <w:rsid w:val="00687316"/>
    <w:rsid w:val="00690EEB"/>
    <w:rsid w:val="00692F28"/>
    <w:rsid w:val="0069714E"/>
    <w:rsid w:val="006A5576"/>
    <w:rsid w:val="006B1F35"/>
    <w:rsid w:val="006B314E"/>
    <w:rsid w:val="006B47F9"/>
    <w:rsid w:val="006B7F82"/>
    <w:rsid w:val="006C110B"/>
    <w:rsid w:val="006C228D"/>
    <w:rsid w:val="006C3D93"/>
    <w:rsid w:val="006C5361"/>
    <w:rsid w:val="006D6F4D"/>
    <w:rsid w:val="006E05D3"/>
    <w:rsid w:val="006F2C3D"/>
    <w:rsid w:val="006F32DE"/>
    <w:rsid w:val="006F490A"/>
    <w:rsid w:val="006F5784"/>
    <w:rsid w:val="006F7339"/>
    <w:rsid w:val="00700879"/>
    <w:rsid w:val="00700B73"/>
    <w:rsid w:val="007011B5"/>
    <w:rsid w:val="00701320"/>
    <w:rsid w:val="00702140"/>
    <w:rsid w:val="00703864"/>
    <w:rsid w:val="007158BD"/>
    <w:rsid w:val="00715E6B"/>
    <w:rsid w:val="00717745"/>
    <w:rsid w:val="00717C98"/>
    <w:rsid w:val="0072082E"/>
    <w:rsid w:val="00724AE7"/>
    <w:rsid w:val="00726D63"/>
    <w:rsid w:val="007304AC"/>
    <w:rsid w:val="0074019B"/>
    <w:rsid w:val="00741161"/>
    <w:rsid w:val="00742115"/>
    <w:rsid w:val="00743A76"/>
    <w:rsid w:val="00746804"/>
    <w:rsid w:val="007505B0"/>
    <w:rsid w:val="00752908"/>
    <w:rsid w:val="0076293B"/>
    <w:rsid w:val="00764D39"/>
    <w:rsid w:val="00770B1C"/>
    <w:rsid w:val="0077350A"/>
    <w:rsid w:val="0077575E"/>
    <w:rsid w:val="0077710D"/>
    <w:rsid w:val="00782C80"/>
    <w:rsid w:val="00783A82"/>
    <w:rsid w:val="00790785"/>
    <w:rsid w:val="00795910"/>
    <w:rsid w:val="007B3369"/>
    <w:rsid w:val="007B517E"/>
    <w:rsid w:val="007C0EC5"/>
    <w:rsid w:val="007C6BC9"/>
    <w:rsid w:val="007D01E7"/>
    <w:rsid w:val="007D4D65"/>
    <w:rsid w:val="007E1C27"/>
    <w:rsid w:val="007E4548"/>
    <w:rsid w:val="007E552E"/>
    <w:rsid w:val="007E6B41"/>
    <w:rsid w:val="007F415D"/>
    <w:rsid w:val="00800621"/>
    <w:rsid w:val="00803013"/>
    <w:rsid w:val="00804CA1"/>
    <w:rsid w:val="008117B8"/>
    <w:rsid w:val="00813641"/>
    <w:rsid w:val="008165F3"/>
    <w:rsid w:val="00821CE5"/>
    <w:rsid w:val="008273BE"/>
    <w:rsid w:val="0083153E"/>
    <w:rsid w:val="008416D9"/>
    <w:rsid w:val="008440E5"/>
    <w:rsid w:val="00844135"/>
    <w:rsid w:val="0084634F"/>
    <w:rsid w:val="00855D39"/>
    <w:rsid w:val="00855F7D"/>
    <w:rsid w:val="00855F85"/>
    <w:rsid w:val="0085619A"/>
    <w:rsid w:val="008568C2"/>
    <w:rsid w:val="008624BB"/>
    <w:rsid w:val="008753EA"/>
    <w:rsid w:val="00880F04"/>
    <w:rsid w:val="00882843"/>
    <w:rsid w:val="00893B31"/>
    <w:rsid w:val="00895177"/>
    <w:rsid w:val="008A2867"/>
    <w:rsid w:val="008A53B1"/>
    <w:rsid w:val="008A7CC2"/>
    <w:rsid w:val="008B6EE2"/>
    <w:rsid w:val="008C0D2A"/>
    <w:rsid w:val="008D236C"/>
    <w:rsid w:val="008D27E7"/>
    <w:rsid w:val="008D7A58"/>
    <w:rsid w:val="008D7ECA"/>
    <w:rsid w:val="008F0BD8"/>
    <w:rsid w:val="009022F1"/>
    <w:rsid w:val="00910EB2"/>
    <w:rsid w:val="00912EC7"/>
    <w:rsid w:val="00915B5C"/>
    <w:rsid w:val="009171D7"/>
    <w:rsid w:val="00934CDC"/>
    <w:rsid w:val="00942D3D"/>
    <w:rsid w:val="00944B67"/>
    <w:rsid w:val="009479E7"/>
    <w:rsid w:val="0095022D"/>
    <w:rsid w:val="009513B0"/>
    <w:rsid w:val="00962D3E"/>
    <w:rsid w:val="009637D6"/>
    <w:rsid w:val="009756BD"/>
    <w:rsid w:val="00975A60"/>
    <w:rsid w:val="0097634B"/>
    <w:rsid w:val="00980B33"/>
    <w:rsid w:val="00980FFA"/>
    <w:rsid w:val="009855EC"/>
    <w:rsid w:val="009A0DC6"/>
    <w:rsid w:val="009B1598"/>
    <w:rsid w:val="009B17D9"/>
    <w:rsid w:val="009B1CE0"/>
    <w:rsid w:val="009B760F"/>
    <w:rsid w:val="009C2713"/>
    <w:rsid w:val="009C3FCE"/>
    <w:rsid w:val="009C454A"/>
    <w:rsid w:val="009C78F5"/>
    <w:rsid w:val="009D1565"/>
    <w:rsid w:val="009D26A6"/>
    <w:rsid w:val="009D324F"/>
    <w:rsid w:val="009E0C03"/>
    <w:rsid w:val="009E252B"/>
    <w:rsid w:val="009F3FF4"/>
    <w:rsid w:val="009F4B8A"/>
    <w:rsid w:val="009F6890"/>
    <w:rsid w:val="009F7A51"/>
    <w:rsid w:val="00A00833"/>
    <w:rsid w:val="00A03527"/>
    <w:rsid w:val="00A05808"/>
    <w:rsid w:val="00A07ED9"/>
    <w:rsid w:val="00A1575B"/>
    <w:rsid w:val="00A173B8"/>
    <w:rsid w:val="00A20A5E"/>
    <w:rsid w:val="00A23CDD"/>
    <w:rsid w:val="00A24611"/>
    <w:rsid w:val="00A318CE"/>
    <w:rsid w:val="00A339B7"/>
    <w:rsid w:val="00A33E4F"/>
    <w:rsid w:val="00A370EE"/>
    <w:rsid w:val="00A3799C"/>
    <w:rsid w:val="00A43251"/>
    <w:rsid w:val="00A43AA1"/>
    <w:rsid w:val="00A513EE"/>
    <w:rsid w:val="00A63D56"/>
    <w:rsid w:val="00A650D0"/>
    <w:rsid w:val="00A8032B"/>
    <w:rsid w:val="00A90D24"/>
    <w:rsid w:val="00A90FD3"/>
    <w:rsid w:val="00AA29E0"/>
    <w:rsid w:val="00AB0288"/>
    <w:rsid w:val="00AB1112"/>
    <w:rsid w:val="00AB3E33"/>
    <w:rsid w:val="00AB7501"/>
    <w:rsid w:val="00AC0185"/>
    <w:rsid w:val="00AC6997"/>
    <w:rsid w:val="00AC6FED"/>
    <w:rsid w:val="00AC79C1"/>
    <w:rsid w:val="00AD06BE"/>
    <w:rsid w:val="00AD214B"/>
    <w:rsid w:val="00AD4B26"/>
    <w:rsid w:val="00AE23AC"/>
    <w:rsid w:val="00AE38B9"/>
    <w:rsid w:val="00AF09AE"/>
    <w:rsid w:val="00B00F0B"/>
    <w:rsid w:val="00B01F08"/>
    <w:rsid w:val="00B042F7"/>
    <w:rsid w:val="00B047DB"/>
    <w:rsid w:val="00B04913"/>
    <w:rsid w:val="00B1264A"/>
    <w:rsid w:val="00B12994"/>
    <w:rsid w:val="00B147BF"/>
    <w:rsid w:val="00B17B6C"/>
    <w:rsid w:val="00B21DF5"/>
    <w:rsid w:val="00B2770C"/>
    <w:rsid w:val="00B316B0"/>
    <w:rsid w:val="00B32BE9"/>
    <w:rsid w:val="00B41677"/>
    <w:rsid w:val="00B4335B"/>
    <w:rsid w:val="00B447A0"/>
    <w:rsid w:val="00B45663"/>
    <w:rsid w:val="00B500F9"/>
    <w:rsid w:val="00B50D80"/>
    <w:rsid w:val="00B51A2E"/>
    <w:rsid w:val="00B5579D"/>
    <w:rsid w:val="00B60BFA"/>
    <w:rsid w:val="00B61D2F"/>
    <w:rsid w:val="00B6448E"/>
    <w:rsid w:val="00B7205D"/>
    <w:rsid w:val="00B745A4"/>
    <w:rsid w:val="00B80A9D"/>
    <w:rsid w:val="00B81E79"/>
    <w:rsid w:val="00B8581C"/>
    <w:rsid w:val="00B87BDE"/>
    <w:rsid w:val="00B946CF"/>
    <w:rsid w:val="00BA54E8"/>
    <w:rsid w:val="00BC143C"/>
    <w:rsid w:val="00BC3555"/>
    <w:rsid w:val="00BC5A14"/>
    <w:rsid w:val="00BC6C29"/>
    <w:rsid w:val="00BD663C"/>
    <w:rsid w:val="00BE115B"/>
    <w:rsid w:val="00BE24B5"/>
    <w:rsid w:val="00BE7704"/>
    <w:rsid w:val="00BF3BE6"/>
    <w:rsid w:val="00C0122E"/>
    <w:rsid w:val="00C04023"/>
    <w:rsid w:val="00C04ECB"/>
    <w:rsid w:val="00C12E7A"/>
    <w:rsid w:val="00C15B9F"/>
    <w:rsid w:val="00C20877"/>
    <w:rsid w:val="00C24969"/>
    <w:rsid w:val="00C25798"/>
    <w:rsid w:val="00C312A3"/>
    <w:rsid w:val="00C32795"/>
    <w:rsid w:val="00C3300F"/>
    <w:rsid w:val="00C47E49"/>
    <w:rsid w:val="00C536B9"/>
    <w:rsid w:val="00C53F74"/>
    <w:rsid w:val="00C5597C"/>
    <w:rsid w:val="00C57661"/>
    <w:rsid w:val="00C57CAF"/>
    <w:rsid w:val="00C62893"/>
    <w:rsid w:val="00C656A1"/>
    <w:rsid w:val="00C717B1"/>
    <w:rsid w:val="00C866ED"/>
    <w:rsid w:val="00C8697B"/>
    <w:rsid w:val="00C903D2"/>
    <w:rsid w:val="00C915EB"/>
    <w:rsid w:val="00C95780"/>
    <w:rsid w:val="00C97876"/>
    <w:rsid w:val="00CA2437"/>
    <w:rsid w:val="00CA666C"/>
    <w:rsid w:val="00CB47A2"/>
    <w:rsid w:val="00CB5C84"/>
    <w:rsid w:val="00CB7609"/>
    <w:rsid w:val="00CB7F00"/>
    <w:rsid w:val="00CC4441"/>
    <w:rsid w:val="00CC5731"/>
    <w:rsid w:val="00CD0A57"/>
    <w:rsid w:val="00CD2762"/>
    <w:rsid w:val="00CD571D"/>
    <w:rsid w:val="00CD5E58"/>
    <w:rsid w:val="00CE0330"/>
    <w:rsid w:val="00CE13D2"/>
    <w:rsid w:val="00CE54D1"/>
    <w:rsid w:val="00CE57CB"/>
    <w:rsid w:val="00CE7DAB"/>
    <w:rsid w:val="00CF0D96"/>
    <w:rsid w:val="00D04883"/>
    <w:rsid w:val="00D055A4"/>
    <w:rsid w:val="00D11774"/>
    <w:rsid w:val="00D13AD7"/>
    <w:rsid w:val="00D13C60"/>
    <w:rsid w:val="00D16C55"/>
    <w:rsid w:val="00D2271C"/>
    <w:rsid w:val="00D27D5C"/>
    <w:rsid w:val="00D36974"/>
    <w:rsid w:val="00D413F8"/>
    <w:rsid w:val="00D42D53"/>
    <w:rsid w:val="00D457D8"/>
    <w:rsid w:val="00D52224"/>
    <w:rsid w:val="00D60EB7"/>
    <w:rsid w:val="00D61881"/>
    <w:rsid w:val="00D642F6"/>
    <w:rsid w:val="00D647FA"/>
    <w:rsid w:val="00D74FAD"/>
    <w:rsid w:val="00D762A4"/>
    <w:rsid w:val="00D81195"/>
    <w:rsid w:val="00D8119B"/>
    <w:rsid w:val="00D83406"/>
    <w:rsid w:val="00D855AD"/>
    <w:rsid w:val="00D948CC"/>
    <w:rsid w:val="00D97A82"/>
    <w:rsid w:val="00DA0ECE"/>
    <w:rsid w:val="00DB0017"/>
    <w:rsid w:val="00DB42F2"/>
    <w:rsid w:val="00DB7FF5"/>
    <w:rsid w:val="00DC1547"/>
    <w:rsid w:val="00DC1630"/>
    <w:rsid w:val="00DC3613"/>
    <w:rsid w:val="00DC6F34"/>
    <w:rsid w:val="00DD30FE"/>
    <w:rsid w:val="00DD6236"/>
    <w:rsid w:val="00DD7850"/>
    <w:rsid w:val="00DE4E9A"/>
    <w:rsid w:val="00DE507B"/>
    <w:rsid w:val="00DE52CB"/>
    <w:rsid w:val="00DE55D1"/>
    <w:rsid w:val="00DE6CD7"/>
    <w:rsid w:val="00DF017C"/>
    <w:rsid w:val="00DF273E"/>
    <w:rsid w:val="00DF7938"/>
    <w:rsid w:val="00E00D03"/>
    <w:rsid w:val="00E05787"/>
    <w:rsid w:val="00E12672"/>
    <w:rsid w:val="00E202AF"/>
    <w:rsid w:val="00E2219C"/>
    <w:rsid w:val="00E265F4"/>
    <w:rsid w:val="00E266F9"/>
    <w:rsid w:val="00E45F03"/>
    <w:rsid w:val="00E46996"/>
    <w:rsid w:val="00E54F0B"/>
    <w:rsid w:val="00E5659E"/>
    <w:rsid w:val="00E5769E"/>
    <w:rsid w:val="00E610CF"/>
    <w:rsid w:val="00E61528"/>
    <w:rsid w:val="00E63D4C"/>
    <w:rsid w:val="00E6449A"/>
    <w:rsid w:val="00E764E7"/>
    <w:rsid w:val="00E773E4"/>
    <w:rsid w:val="00E7776E"/>
    <w:rsid w:val="00E822B4"/>
    <w:rsid w:val="00E859FE"/>
    <w:rsid w:val="00E86B5A"/>
    <w:rsid w:val="00E96006"/>
    <w:rsid w:val="00EA463B"/>
    <w:rsid w:val="00EA78DD"/>
    <w:rsid w:val="00EB0390"/>
    <w:rsid w:val="00EB070D"/>
    <w:rsid w:val="00EB5D9A"/>
    <w:rsid w:val="00EC009A"/>
    <w:rsid w:val="00EC1451"/>
    <w:rsid w:val="00EC58C6"/>
    <w:rsid w:val="00ED7E01"/>
    <w:rsid w:val="00EE7158"/>
    <w:rsid w:val="00EF2FC7"/>
    <w:rsid w:val="00EF73EB"/>
    <w:rsid w:val="00F01BFD"/>
    <w:rsid w:val="00F02EE0"/>
    <w:rsid w:val="00F04BE5"/>
    <w:rsid w:val="00F17545"/>
    <w:rsid w:val="00F21160"/>
    <w:rsid w:val="00F23181"/>
    <w:rsid w:val="00F25A68"/>
    <w:rsid w:val="00F3056D"/>
    <w:rsid w:val="00F31A8B"/>
    <w:rsid w:val="00F341F6"/>
    <w:rsid w:val="00F36268"/>
    <w:rsid w:val="00F372B7"/>
    <w:rsid w:val="00F5002F"/>
    <w:rsid w:val="00F50579"/>
    <w:rsid w:val="00F52D19"/>
    <w:rsid w:val="00F56DA2"/>
    <w:rsid w:val="00F600E1"/>
    <w:rsid w:val="00F6069F"/>
    <w:rsid w:val="00F6422E"/>
    <w:rsid w:val="00F64B8F"/>
    <w:rsid w:val="00F675A5"/>
    <w:rsid w:val="00F87BE1"/>
    <w:rsid w:val="00FB4D20"/>
    <w:rsid w:val="00FC246E"/>
    <w:rsid w:val="00FC712A"/>
    <w:rsid w:val="00FD2444"/>
    <w:rsid w:val="00FD4EA7"/>
    <w:rsid w:val="00FD4F68"/>
    <w:rsid w:val="00FE1AF9"/>
    <w:rsid w:val="00FE4D59"/>
    <w:rsid w:val="00FF11E9"/>
    <w:rsid w:val="00FF4420"/>
    <w:rsid w:val="00FF6877"/>
    <w:rsid w:val="01595964"/>
    <w:rsid w:val="025465A1"/>
    <w:rsid w:val="03534868"/>
    <w:rsid w:val="04F630C9"/>
    <w:rsid w:val="05726918"/>
    <w:rsid w:val="05C85979"/>
    <w:rsid w:val="0AA0268A"/>
    <w:rsid w:val="0B402AC3"/>
    <w:rsid w:val="0C984DD1"/>
    <w:rsid w:val="0F290E91"/>
    <w:rsid w:val="0F846BD5"/>
    <w:rsid w:val="12B22FF0"/>
    <w:rsid w:val="1A486935"/>
    <w:rsid w:val="1C105E54"/>
    <w:rsid w:val="1DC41A5D"/>
    <w:rsid w:val="1EAD7DE2"/>
    <w:rsid w:val="21096865"/>
    <w:rsid w:val="283A1239"/>
    <w:rsid w:val="2AA859FB"/>
    <w:rsid w:val="2CE028C5"/>
    <w:rsid w:val="30005BF5"/>
    <w:rsid w:val="316A1A88"/>
    <w:rsid w:val="326F6543"/>
    <w:rsid w:val="35F9591B"/>
    <w:rsid w:val="3611094A"/>
    <w:rsid w:val="39EE0357"/>
    <w:rsid w:val="3DB20471"/>
    <w:rsid w:val="3E987B67"/>
    <w:rsid w:val="3EC51F80"/>
    <w:rsid w:val="41A001D5"/>
    <w:rsid w:val="433D3D36"/>
    <w:rsid w:val="4A897A08"/>
    <w:rsid w:val="51791E56"/>
    <w:rsid w:val="5237433C"/>
    <w:rsid w:val="52F7190B"/>
    <w:rsid w:val="52FB414E"/>
    <w:rsid w:val="54BF758A"/>
    <w:rsid w:val="54DE207A"/>
    <w:rsid w:val="55D200BA"/>
    <w:rsid w:val="58122010"/>
    <w:rsid w:val="5C9334ED"/>
    <w:rsid w:val="5F42181C"/>
    <w:rsid w:val="6012121A"/>
    <w:rsid w:val="669748B3"/>
    <w:rsid w:val="67944B8F"/>
    <w:rsid w:val="6BA673F5"/>
    <w:rsid w:val="6BD35DB0"/>
    <w:rsid w:val="75B87A49"/>
    <w:rsid w:val="775D079B"/>
    <w:rsid w:val="792A4F07"/>
    <w:rsid w:val="79AD4283"/>
    <w:rsid w:val="7CB156B1"/>
    <w:rsid w:val="7E5C5B7D"/>
    <w:rsid w:val="7F907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BB1C51"/>
  <w15:docId w15:val="{AE24DF1F-0790-4997-A6ED-90993704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C8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CB5C84"/>
    <w:rPr>
      <w:b/>
      <w:bCs/>
    </w:rPr>
  </w:style>
  <w:style w:type="paragraph" w:styleId="a4">
    <w:name w:val="annotation text"/>
    <w:basedOn w:val="a"/>
    <w:link w:val="a6"/>
    <w:uiPriority w:val="99"/>
    <w:unhideWhenUsed/>
    <w:qFormat/>
    <w:rsid w:val="00CB5C84"/>
    <w:pPr>
      <w:jc w:val="left"/>
    </w:pPr>
  </w:style>
  <w:style w:type="paragraph" w:styleId="a7">
    <w:name w:val="Balloon Text"/>
    <w:basedOn w:val="a"/>
    <w:link w:val="a8"/>
    <w:uiPriority w:val="99"/>
    <w:unhideWhenUsed/>
    <w:qFormat/>
    <w:rsid w:val="00CB5C84"/>
    <w:rPr>
      <w:sz w:val="18"/>
      <w:szCs w:val="18"/>
    </w:rPr>
  </w:style>
  <w:style w:type="paragraph" w:styleId="a9">
    <w:name w:val="footer"/>
    <w:basedOn w:val="a"/>
    <w:link w:val="aa"/>
    <w:uiPriority w:val="99"/>
    <w:unhideWhenUsed/>
    <w:qFormat/>
    <w:rsid w:val="00CB5C84"/>
    <w:pPr>
      <w:tabs>
        <w:tab w:val="center" w:pos="4153"/>
        <w:tab w:val="right" w:pos="8306"/>
      </w:tabs>
      <w:snapToGrid w:val="0"/>
      <w:jc w:val="left"/>
    </w:pPr>
    <w:rPr>
      <w:sz w:val="18"/>
      <w:szCs w:val="18"/>
    </w:rPr>
  </w:style>
  <w:style w:type="paragraph" w:styleId="ab">
    <w:name w:val="header"/>
    <w:basedOn w:val="a"/>
    <w:link w:val="ac"/>
    <w:uiPriority w:val="99"/>
    <w:unhideWhenUsed/>
    <w:qFormat/>
    <w:rsid w:val="00CB5C84"/>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rsid w:val="00CB5C84"/>
    <w:pPr>
      <w:spacing w:beforeAutospacing="1" w:afterAutospacing="1"/>
      <w:jc w:val="left"/>
    </w:pPr>
    <w:rPr>
      <w:rFonts w:cs="Times New Roman"/>
      <w:kern w:val="0"/>
      <w:sz w:val="24"/>
    </w:rPr>
  </w:style>
  <w:style w:type="character" w:styleId="ae">
    <w:name w:val="annotation reference"/>
    <w:basedOn w:val="a0"/>
    <w:uiPriority w:val="99"/>
    <w:unhideWhenUsed/>
    <w:qFormat/>
    <w:rsid w:val="00CB5C84"/>
    <w:rPr>
      <w:sz w:val="21"/>
      <w:szCs w:val="21"/>
    </w:rPr>
  </w:style>
  <w:style w:type="character" w:customStyle="1" w:styleId="ac">
    <w:name w:val="页眉 字符"/>
    <w:basedOn w:val="a0"/>
    <w:link w:val="ab"/>
    <w:uiPriority w:val="99"/>
    <w:qFormat/>
    <w:rsid w:val="00CB5C84"/>
    <w:rPr>
      <w:sz w:val="18"/>
      <w:szCs w:val="18"/>
    </w:rPr>
  </w:style>
  <w:style w:type="character" w:customStyle="1" w:styleId="aa">
    <w:name w:val="页脚 字符"/>
    <w:basedOn w:val="a0"/>
    <w:link w:val="a9"/>
    <w:uiPriority w:val="99"/>
    <w:qFormat/>
    <w:rsid w:val="00CB5C84"/>
    <w:rPr>
      <w:sz w:val="18"/>
      <w:szCs w:val="18"/>
    </w:rPr>
  </w:style>
  <w:style w:type="paragraph" w:customStyle="1" w:styleId="1">
    <w:name w:val="列出段落1"/>
    <w:basedOn w:val="a"/>
    <w:uiPriority w:val="34"/>
    <w:qFormat/>
    <w:rsid w:val="00CB5C84"/>
    <w:pPr>
      <w:ind w:firstLineChars="200" w:firstLine="420"/>
    </w:pPr>
  </w:style>
  <w:style w:type="character" w:customStyle="1" w:styleId="a8">
    <w:name w:val="批注框文本 字符"/>
    <w:basedOn w:val="a0"/>
    <w:link w:val="a7"/>
    <w:uiPriority w:val="99"/>
    <w:semiHidden/>
    <w:qFormat/>
    <w:rsid w:val="00CB5C84"/>
    <w:rPr>
      <w:sz w:val="18"/>
      <w:szCs w:val="18"/>
    </w:rPr>
  </w:style>
  <w:style w:type="character" w:customStyle="1" w:styleId="a6">
    <w:name w:val="批注文字 字符"/>
    <w:basedOn w:val="a0"/>
    <w:link w:val="a4"/>
    <w:uiPriority w:val="99"/>
    <w:semiHidden/>
    <w:qFormat/>
    <w:rsid w:val="00CB5C84"/>
  </w:style>
  <w:style w:type="character" w:customStyle="1" w:styleId="a5">
    <w:name w:val="批注主题 字符"/>
    <w:basedOn w:val="a6"/>
    <w:link w:val="a3"/>
    <w:uiPriority w:val="99"/>
    <w:semiHidden/>
    <w:qFormat/>
    <w:rsid w:val="00CB5C84"/>
    <w:rPr>
      <w:b/>
      <w:bCs/>
    </w:rPr>
  </w:style>
  <w:style w:type="paragraph" w:customStyle="1" w:styleId="10">
    <w:name w:val="修订1"/>
    <w:hidden/>
    <w:uiPriority w:val="99"/>
    <w:semiHidden/>
    <w:qFormat/>
    <w:rsid w:val="00CB5C84"/>
    <w:rPr>
      <w:rFonts w:asciiTheme="minorHAnsi" w:eastAsiaTheme="minorEastAsia" w:hAnsiTheme="minorHAnsi" w:cstheme="minorBidi"/>
      <w:kern w:val="2"/>
      <w:sz w:val="21"/>
      <w:szCs w:val="22"/>
    </w:rPr>
  </w:style>
  <w:style w:type="paragraph" w:customStyle="1" w:styleId="Default">
    <w:name w:val="Default"/>
    <w:qFormat/>
    <w:rsid w:val="00CB5C84"/>
    <w:pPr>
      <w:widowControl w:val="0"/>
      <w:autoSpaceDE w:val="0"/>
      <w:autoSpaceDN w:val="0"/>
      <w:adjustRightInd w:val="0"/>
    </w:pPr>
    <w:rPr>
      <w:rFonts w:ascii="宋体" w:hAnsiTheme="minorHAnsi" w:cs="宋体"/>
      <w:color w:val="000000"/>
      <w:sz w:val="24"/>
      <w:szCs w:val="24"/>
    </w:rPr>
  </w:style>
  <w:style w:type="character" w:customStyle="1" w:styleId="bjh-p">
    <w:name w:val="bjh-p"/>
    <w:basedOn w:val="a0"/>
    <w:rsid w:val="00D81195"/>
  </w:style>
  <w:style w:type="character" w:customStyle="1" w:styleId="bjh-strong">
    <w:name w:val="bjh-strong"/>
    <w:basedOn w:val="a0"/>
    <w:rsid w:val="00D81195"/>
  </w:style>
  <w:style w:type="paragraph" w:styleId="af">
    <w:name w:val="List Paragraph"/>
    <w:basedOn w:val="a"/>
    <w:uiPriority w:val="99"/>
    <w:qFormat/>
    <w:rsid w:val="007208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3758">
      <w:bodyDiv w:val="1"/>
      <w:marLeft w:val="0"/>
      <w:marRight w:val="0"/>
      <w:marTop w:val="0"/>
      <w:marBottom w:val="0"/>
      <w:divBdr>
        <w:top w:val="none" w:sz="0" w:space="0" w:color="auto"/>
        <w:left w:val="none" w:sz="0" w:space="0" w:color="auto"/>
        <w:bottom w:val="none" w:sz="0" w:space="0" w:color="auto"/>
        <w:right w:val="none" w:sz="0" w:space="0" w:color="auto"/>
      </w:divBdr>
    </w:div>
    <w:div w:id="232132147">
      <w:bodyDiv w:val="1"/>
      <w:marLeft w:val="0"/>
      <w:marRight w:val="0"/>
      <w:marTop w:val="0"/>
      <w:marBottom w:val="0"/>
      <w:divBdr>
        <w:top w:val="none" w:sz="0" w:space="0" w:color="auto"/>
        <w:left w:val="none" w:sz="0" w:space="0" w:color="auto"/>
        <w:bottom w:val="none" w:sz="0" w:space="0" w:color="auto"/>
        <w:right w:val="none" w:sz="0" w:space="0" w:color="auto"/>
      </w:divBdr>
    </w:div>
    <w:div w:id="286931960">
      <w:bodyDiv w:val="1"/>
      <w:marLeft w:val="0"/>
      <w:marRight w:val="0"/>
      <w:marTop w:val="0"/>
      <w:marBottom w:val="0"/>
      <w:divBdr>
        <w:top w:val="none" w:sz="0" w:space="0" w:color="auto"/>
        <w:left w:val="none" w:sz="0" w:space="0" w:color="auto"/>
        <w:bottom w:val="none" w:sz="0" w:space="0" w:color="auto"/>
        <w:right w:val="none" w:sz="0" w:space="0" w:color="auto"/>
      </w:divBdr>
    </w:div>
    <w:div w:id="417992673">
      <w:bodyDiv w:val="1"/>
      <w:marLeft w:val="0"/>
      <w:marRight w:val="0"/>
      <w:marTop w:val="0"/>
      <w:marBottom w:val="0"/>
      <w:divBdr>
        <w:top w:val="none" w:sz="0" w:space="0" w:color="auto"/>
        <w:left w:val="none" w:sz="0" w:space="0" w:color="auto"/>
        <w:bottom w:val="none" w:sz="0" w:space="0" w:color="auto"/>
        <w:right w:val="none" w:sz="0" w:space="0" w:color="auto"/>
      </w:divBdr>
    </w:div>
    <w:div w:id="494421838">
      <w:bodyDiv w:val="1"/>
      <w:marLeft w:val="0"/>
      <w:marRight w:val="0"/>
      <w:marTop w:val="0"/>
      <w:marBottom w:val="0"/>
      <w:divBdr>
        <w:top w:val="none" w:sz="0" w:space="0" w:color="auto"/>
        <w:left w:val="none" w:sz="0" w:space="0" w:color="auto"/>
        <w:bottom w:val="none" w:sz="0" w:space="0" w:color="auto"/>
        <w:right w:val="none" w:sz="0" w:space="0" w:color="auto"/>
      </w:divBdr>
    </w:div>
    <w:div w:id="511340308">
      <w:bodyDiv w:val="1"/>
      <w:marLeft w:val="0"/>
      <w:marRight w:val="0"/>
      <w:marTop w:val="0"/>
      <w:marBottom w:val="0"/>
      <w:divBdr>
        <w:top w:val="none" w:sz="0" w:space="0" w:color="auto"/>
        <w:left w:val="none" w:sz="0" w:space="0" w:color="auto"/>
        <w:bottom w:val="none" w:sz="0" w:space="0" w:color="auto"/>
        <w:right w:val="none" w:sz="0" w:space="0" w:color="auto"/>
      </w:divBdr>
    </w:div>
    <w:div w:id="524052173">
      <w:bodyDiv w:val="1"/>
      <w:marLeft w:val="0"/>
      <w:marRight w:val="0"/>
      <w:marTop w:val="0"/>
      <w:marBottom w:val="0"/>
      <w:divBdr>
        <w:top w:val="none" w:sz="0" w:space="0" w:color="auto"/>
        <w:left w:val="none" w:sz="0" w:space="0" w:color="auto"/>
        <w:bottom w:val="none" w:sz="0" w:space="0" w:color="auto"/>
        <w:right w:val="none" w:sz="0" w:space="0" w:color="auto"/>
      </w:divBdr>
    </w:div>
    <w:div w:id="644310523">
      <w:bodyDiv w:val="1"/>
      <w:marLeft w:val="0"/>
      <w:marRight w:val="0"/>
      <w:marTop w:val="0"/>
      <w:marBottom w:val="0"/>
      <w:divBdr>
        <w:top w:val="none" w:sz="0" w:space="0" w:color="auto"/>
        <w:left w:val="none" w:sz="0" w:space="0" w:color="auto"/>
        <w:bottom w:val="none" w:sz="0" w:space="0" w:color="auto"/>
        <w:right w:val="none" w:sz="0" w:space="0" w:color="auto"/>
      </w:divBdr>
    </w:div>
    <w:div w:id="668558676">
      <w:bodyDiv w:val="1"/>
      <w:marLeft w:val="0"/>
      <w:marRight w:val="0"/>
      <w:marTop w:val="0"/>
      <w:marBottom w:val="0"/>
      <w:divBdr>
        <w:top w:val="none" w:sz="0" w:space="0" w:color="auto"/>
        <w:left w:val="none" w:sz="0" w:space="0" w:color="auto"/>
        <w:bottom w:val="none" w:sz="0" w:space="0" w:color="auto"/>
        <w:right w:val="none" w:sz="0" w:space="0" w:color="auto"/>
      </w:divBdr>
    </w:div>
    <w:div w:id="833690820">
      <w:bodyDiv w:val="1"/>
      <w:marLeft w:val="0"/>
      <w:marRight w:val="0"/>
      <w:marTop w:val="0"/>
      <w:marBottom w:val="0"/>
      <w:divBdr>
        <w:top w:val="none" w:sz="0" w:space="0" w:color="auto"/>
        <w:left w:val="none" w:sz="0" w:space="0" w:color="auto"/>
        <w:bottom w:val="none" w:sz="0" w:space="0" w:color="auto"/>
        <w:right w:val="none" w:sz="0" w:space="0" w:color="auto"/>
      </w:divBdr>
    </w:div>
    <w:div w:id="889730040">
      <w:bodyDiv w:val="1"/>
      <w:marLeft w:val="0"/>
      <w:marRight w:val="0"/>
      <w:marTop w:val="0"/>
      <w:marBottom w:val="0"/>
      <w:divBdr>
        <w:top w:val="none" w:sz="0" w:space="0" w:color="auto"/>
        <w:left w:val="none" w:sz="0" w:space="0" w:color="auto"/>
        <w:bottom w:val="none" w:sz="0" w:space="0" w:color="auto"/>
        <w:right w:val="none" w:sz="0" w:space="0" w:color="auto"/>
      </w:divBdr>
    </w:div>
    <w:div w:id="1863855060">
      <w:bodyDiv w:val="1"/>
      <w:marLeft w:val="0"/>
      <w:marRight w:val="0"/>
      <w:marTop w:val="0"/>
      <w:marBottom w:val="0"/>
      <w:divBdr>
        <w:top w:val="none" w:sz="0" w:space="0" w:color="auto"/>
        <w:left w:val="none" w:sz="0" w:space="0" w:color="auto"/>
        <w:bottom w:val="none" w:sz="0" w:space="0" w:color="auto"/>
        <w:right w:val="none" w:sz="0" w:space="0" w:color="auto"/>
      </w:divBdr>
    </w:div>
    <w:div w:id="1868836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3E9B92-49CD-41B1-878B-EEC2444D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5949</TotalTime>
  <Pages>4</Pages>
  <Words>294</Words>
  <Characters>1676</Characters>
  <Application>Microsoft Office Word</Application>
  <DocSecurity>0</DocSecurity>
  <Lines>13</Lines>
  <Paragraphs>3</Paragraphs>
  <ScaleCrop>false</ScaleCrop>
  <Company>http://sdwm.org</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SDWM</dc:creator>
  <cp:lastModifiedBy>王元元</cp:lastModifiedBy>
  <cp:revision>302</cp:revision>
  <cp:lastPrinted>2019-09-03T01:36:00Z</cp:lastPrinted>
  <dcterms:created xsi:type="dcterms:W3CDTF">2019-06-12T06:07:00Z</dcterms:created>
  <dcterms:modified xsi:type="dcterms:W3CDTF">2023-11-23T07:33:00Z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